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927"/>
      </w:tblGrid>
      <w:tr w:rsidR="00BF256D" w:rsidRPr="0074358A" w14:paraId="354ED59D" w14:textId="77777777" w:rsidTr="00213DD5">
        <w:trPr>
          <w:trHeight w:val="576"/>
        </w:trPr>
        <w:tc>
          <w:tcPr>
            <w:tcW w:w="4608" w:type="dxa"/>
          </w:tcPr>
          <w:p w14:paraId="1F6F943E" w14:textId="77777777" w:rsidR="00BF256D" w:rsidRPr="0074358A" w:rsidRDefault="00BF256D" w:rsidP="003E30A2">
            <w:pPr>
              <w:pStyle w:val="Heading2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Case Name:</w:t>
            </w:r>
          </w:p>
        </w:tc>
        <w:tc>
          <w:tcPr>
            <w:tcW w:w="4927" w:type="dxa"/>
          </w:tcPr>
          <w:p w14:paraId="1696E152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b/>
                <w:spacing w:val="-2"/>
                <w:sz w:val="22"/>
                <w:szCs w:val="22"/>
              </w:rPr>
              <w:t>Date Complaint Filed:</w:t>
            </w:r>
          </w:p>
        </w:tc>
      </w:tr>
      <w:tr w:rsidR="00BF256D" w:rsidRPr="0074358A" w14:paraId="4C1658F0" w14:textId="77777777" w:rsidTr="00213DD5">
        <w:trPr>
          <w:trHeight w:val="576"/>
        </w:trPr>
        <w:tc>
          <w:tcPr>
            <w:tcW w:w="4608" w:type="dxa"/>
          </w:tcPr>
          <w:p w14:paraId="2C65C52C" w14:textId="77777777" w:rsidR="00BF256D" w:rsidRPr="0074358A" w:rsidRDefault="00BF256D" w:rsidP="003E30A2">
            <w:pPr>
              <w:pStyle w:val="Heading2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Attorney:</w:t>
            </w:r>
          </w:p>
        </w:tc>
        <w:tc>
          <w:tcPr>
            <w:tcW w:w="4927" w:type="dxa"/>
          </w:tcPr>
          <w:p w14:paraId="5749FA5B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b/>
                <w:spacing w:val="-2"/>
                <w:sz w:val="22"/>
                <w:szCs w:val="22"/>
              </w:rPr>
              <w:t>60 Day Service Deadline:</w:t>
            </w:r>
          </w:p>
        </w:tc>
      </w:tr>
      <w:tr w:rsidR="00BF256D" w:rsidRPr="0074358A" w14:paraId="49C47143" w14:textId="77777777" w:rsidTr="00213DD5">
        <w:trPr>
          <w:trHeight w:val="576"/>
        </w:trPr>
        <w:tc>
          <w:tcPr>
            <w:tcW w:w="4608" w:type="dxa"/>
          </w:tcPr>
          <w:p w14:paraId="105ECDE6" w14:textId="77777777" w:rsidR="00BF256D" w:rsidRPr="0074358A" w:rsidRDefault="00BF256D" w:rsidP="003E30A2">
            <w:pPr>
              <w:pStyle w:val="Heading2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Date Statute Expires:</w:t>
            </w:r>
          </w:p>
        </w:tc>
        <w:tc>
          <w:tcPr>
            <w:tcW w:w="4927" w:type="dxa"/>
          </w:tcPr>
          <w:p w14:paraId="200DBAD0" w14:textId="77777777" w:rsidR="00BF256D" w:rsidRPr="0074358A" w:rsidRDefault="00BF256D" w:rsidP="003E30A2">
            <w:pPr>
              <w:tabs>
                <w:tab w:val="left" w:pos="0"/>
                <w:tab w:val="left" w:pos="2592"/>
              </w:tabs>
              <w:suppressAutoHyphens/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proofErr w:type="gramStart"/>
            <w:r w:rsidRPr="0074358A">
              <w:rPr>
                <w:rFonts w:ascii="Arial" w:hAnsi="Arial" w:cs="Arial"/>
                <w:b/>
                <w:spacing w:val="-2"/>
                <w:sz w:val="22"/>
                <w:szCs w:val="22"/>
              </w:rPr>
              <w:t>Date Service</w:t>
            </w:r>
            <w:proofErr w:type="gramEnd"/>
            <w:r w:rsidRPr="0074358A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Completed:</w:t>
            </w:r>
          </w:p>
        </w:tc>
      </w:tr>
    </w:tbl>
    <w:p w14:paraId="1039FDEB" w14:textId="77777777" w:rsidR="00EB7FB6" w:rsidRPr="0074358A" w:rsidRDefault="00EB7FB6">
      <w:pPr>
        <w:rPr>
          <w:rFonts w:ascii="Arial" w:hAnsi="Arial" w:cs="Arial"/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5"/>
        <w:gridCol w:w="2430"/>
        <w:gridCol w:w="1620"/>
        <w:gridCol w:w="1440"/>
      </w:tblGrid>
      <w:tr w:rsidR="00BF256D" w:rsidRPr="0074358A" w14:paraId="17E87C0F" w14:textId="77777777" w:rsidTr="00213DD5">
        <w:trPr>
          <w:trHeight w:hRule="exact" w:val="480"/>
          <w:tblHeader/>
        </w:trPr>
        <w:tc>
          <w:tcPr>
            <w:tcW w:w="4045" w:type="dxa"/>
            <w:shd w:val="pct20" w:color="auto" w:fill="FFFFFF"/>
          </w:tcPr>
          <w:p w14:paraId="1BCEED66" w14:textId="77777777" w:rsidR="00BF256D" w:rsidRPr="0074358A" w:rsidRDefault="00581C26" w:rsidP="003E30A2">
            <w:pPr>
              <w:pStyle w:val="Heading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A</w:t>
            </w:r>
            <w:r w:rsidR="00B47A1E" w:rsidRPr="0074358A">
              <w:rPr>
                <w:rFonts w:ascii="Arial" w:hAnsi="Arial" w:cs="Arial"/>
                <w:sz w:val="22"/>
                <w:szCs w:val="22"/>
              </w:rPr>
              <w:t>ction</w:t>
            </w:r>
          </w:p>
          <w:p w14:paraId="6C763167" w14:textId="77777777" w:rsidR="00BF256D" w:rsidRPr="0074358A" w:rsidRDefault="00BF256D" w:rsidP="003E30A2">
            <w:pPr>
              <w:pStyle w:val="Heading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ACTION</w:t>
            </w:r>
          </w:p>
          <w:p w14:paraId="0D5223F9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shd w:val="pct20" w:color="auto" w:fill="FFFFFF"/>
          </w:tcPr>
          <w:p w14:paraId="233ABC22" w14:textId="77777777" w:rsidR="00BF256D" w:rsidRPr="0074358A" w:rsidRDefault="00B47A1E" w:rsidP="003E30A2">
            <w:pPr>
              <w:pStyle w:val="Heading4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Suggest Timeline</w:t>
            </w:r>
          </w:p>
          <w:p w14:paraId="1F50326E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b/>
                <w:spacing w:val="-2"/>
                <w:sz w:val="22"/>
                <w:szCs w:val="22"/>
              </w:rPr>
              <w:t>TICKLER DATE</w:t>
            </w:r>
          </w:p>
        </w:tc>
        <w:tc>
          <w:tcPr>
            <w:tcW w:w="1620" w:type="dxa"/>
            <w:shd w:val="pct20" w:color="auto" w:fill="FFFFFF"/>
          </w:tcPr>
          <w:p w14:paraId="62AB63C6" w14:textId="77777777" w:rsidR="00BF256D" w:rsidRPr="0074358A" w:rsidRDefault="00B47A1E" w:rsidP="003E30A2">
            <w:pPr>
              <w:pStyle w:val="Heading3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Tickler</w:t>
            </w:r>
          </w:p>
          <w:p w14:paraId="641F9D83" w14:textId="77777777" w:rsidR="00BF256D" w:rsidRPr="0074358A" w:rsidRDefault="00BF256D" w:rsidP="003E30A2">
            <w:pPr>
              <w:pStyle w:val="Heading1"/>
              <w:spacing w:before="120" w:after="120"/>
              <w:rPr>
                <w:rFonts w:ascii="Arial" w:hAnsi="Arial" w:cs="Arial"/>
                <w:szCs w:val="22"/>
              </w:rPr>
            </w:pPr>
            <w:r w:rsidRPr="0074358A">
              <w:rPr>
                <w:rFonts w:ascii="Arial" w:hAnsi="Arial" w:cs="Arial"/>
                <w:szCs w:val="22"/>
              </w:rPr>
              <w:t>DATE*</w:t>
            </w:r>
          </w:p>
        </w:tc>
        <w:tc>
          <w:tcPr>
            <w:tcW w:w="1440" w:type="dxa"/>
            <w:shd w:val="pct20" w:color="auto" w:fill="FFFFFF"/>
          </w:tcPr>
          <w:p w14:paraId="2BEA8AB9" w14:textId="77777777" w:rsidR="00BF256D" w:rsidRPr="0074358A" w:rsidRDefault="00BF256D" w:rsidP="003E30A2">
            <w:pPr>
              <w:pStyle w:val="Heading4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D</w:t>
            </w:r>
            <w:r w:rsidR="00B47A1E" w:rsidRPr="0074358A">
              <w:rPr>
                <w:rFonts w:ascii="Arial" w:hAnsi="Arial" w:cs="Arial"/>
                <w:sz w:val="22"/>
                <w:szCs w:val="22"/>
              </w:rPr>
              <w:t>ue</w:t>
            </w:r>
          </w:p>
          <w:p w14:paraId="5FD8B6C5" w14:textId="77777777" w:rsidR="00BF256D" w:rsidRPr="0074358A" w:rsidRDefault="00BF256D" w:rsidP="003E30A2">
            <w:pPr>
              <w:pStyle w:val="Heading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DATE*</w:t>
            </w:r>
          </w:p>
        </w:tc>
      </w:tr>
      <w:tr w:rsidR="005E5FA0" w:rsidRPr="0074358A" w14:paraId="492FBA0B" w14:textId="77777777" w:rsidTr="00213DD5">
        <w:tc>
          <w:tcPr>
            <w:tcW w:w="4045" w:type="dxa"/>
          </w:tcPr>
          <w:p w14:paraId="0322F0CD" w14:textId="4BA1550E" w:rsidR="00560A2F" w:rsidRPr="0074358A" w:rsidRDefault="005E5FA0" w:rsidP="003E30A2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Prepare </w:t>
            </w:r>
            <w:proofErr w:type="gramStart"/>
            <w:r w:rsidRPr="0074358A">
              <w:rPr>
                <w:rFonts w:ascii="Arial" w:hAnsi="Arial" w:cs="Arial"/>
                <w:sz w:val="22"/>
                <w:szCs w:val="22"/>
              </w:rPr>
              <w:t>complaint</w:t>
            </w:r>
            <w:proofErr w:type="gramEnd"/>
            <w:r w:rsidRPr="0074358A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gramStart"/>
            <w:r w:rsidRPr="0074358A">
              <w:rPr>
                <w:rFonts w:ascii="Arial" w:hAnsi="Arial" w:cs="Arial"/>
                <w:sz w:val="22"/>
                <w:szCs w:val="22"/>
              </w:rPr>
              <w:t>identify</w:t>
            </w:r>
            <w:proofErr w:type="gramEnd"/>
            <w:r w:rsidRPr="0074358A">
              <w:rPr>
                <w:rFonts w:ascii="Arial" w:hAnsi="Arial" w:cs="Arial"/>
                <w:sz w:val="22"/>
                <w:szCs w:val="22"/>
              </w:rPr>
              <w:t xml:space="preserve"> parties for service.  For tips in avoiding common mistakes in filing and serving a complaint, see the PLF CLE, </w:t>
            </w:r>
            <w:r w:rsidRPr="0074358A">
              <w:rPr>
                <w:rFonts w:ascii="Arial" w:hAnsi="Arial" w:cs="Arial"/>
                <w:i/>
                <w:sz w:val="22"/>
                <w:szCs w:val="22"/>
              </w:rPr>
              <w:t xml:space="preserve">Avoiding Malpractice When Filing and Serving a Complaint, </w:t>
            </w:r>
            <w:r w:rsidRPr="0074358A">
              <w:rPr>
                <w:rFonts w:ascii="Arial" w:hAnsi="Arial" w:cs="Arial"/>
                <w:sz w:val="22"/>
                <w:szCs w:val="22"/>
              </w:rPr>
              <w:t xml:space="preserve">available at </w:t>
            </w:r>
            <w:hyperlink r:id="rId7" w:history="1">
              <w:r w:rsidR="00560A2F" w:rsidRPr="0074358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https://www.osbplf.org/cle-classes/avoiding-malpractice-claims-when-filing-and-serving-a-c/</w:t>
              </w:r>
            </w:hyperlink>
            <w:r w:rsidR="00560A2F" w:rsidRPr="0074358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EC12C8" w14:textId="1D7166DA" w:rsidR="005E5FA0" w:rsidRPr="0074358A" w:rsidRDefault="005E5FA0" w:rsidP="003E30A2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7995980" w14:textId="77777777" w:rsidR="005E5FA0" w:rsidRPr="0074358A" w:rsidRDefault="00F50515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One</w:t>
            </w:r>
            <w:r w:rsidR="00815BC9"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week before </w:t>
            </w:r>
            <w:proofErr w:type="gramStart"/>
            <w:r w:rsidR="00815BC9" w:rsidRPr="0074358A">
              <w:rPr>
                <w:rFonts w:ascii="Arial" w:hAnsi="Arial" w:cs="Arial"/>
                <w:spacing w:val="-2"/>
                <w:sz w:val="22"/>
                <w:szCs w:val="22"/>
              </w:rPr>
              <w:t>anticipated</w:t>
            </w:r>
            <w:proofErr w:type="gramEnd"/>
            <w:r w:rsidR="00815BC9"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filing date.</w:t>
            </w:r>
          </w:p>
        </w:tc>
        <w:tc>
          <w:tcPr>
            <w:tcW w:w="1620" w:type="dxa"/>
          </w:tcPr>
          <w:p w14:paraId="710B4AFB" w14:textId="77777777" w:rsidR="005E5FA0" w:rsidRPr="0074358A" w:rsidRDefault="005E5FA0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94863F6" w14:textId="77777777" w:rsidR="005E5FA0" w:rsidRPr="0074358A" w:rsidRDefault="005E5FA0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65570" w:rsidRPr="0074358A" w14:paraId="2E92734A" w14:textId="77777777" w:rsidTr="00213DD5">
        <w:tc>
          <w:tcPr>
            <w:tcW w:w="4045" w:type="dxa"/>
          </w:tcPr>
          <w:p w14:paraId="4701247E" w14:textId="22837118" w:rsidR="00D65570" w:rsidRPr="0074358A" w:rsidRDefault="00D65570" w:rsidP="001E412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proofErr w:type="spellStart"/>
            <w:r w:rsidR="00F65BA3" w:rsidRPr="0074358A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="00F65BA3" w:rsidRPr="0074358A">
              <w:rPr>
                <w:rFonts w:ascii="Arial" w:hAnsi="Arial" w:cs="Arial"/>
                <w:sz w:val="22"/>
                <w:szCs w:val="22"/>
              </w:rPr>
              <w:t xml:space="preserve"> 7 </w:t>
            </w:r>
            <w:r w:rsidR="001E4128" w:rsidRPr="0074358A">
              <w:rPr>
                <w:rFonts w:ascii="Arial" w:hAnsi="Arial" w:cs="Arial"/>
                <w:sz w:val="22"/>
                <w:szCs w:val="22"/>
              </w:rPr>
              <w:t xml:space="preserve">to </w:t>
            </w:r>
            <w:proofErr w:type="gramStart"/>
            <w:r w:rsidR="001E4128" w:rsidRPr="0074358A">
              <w:rPr>
                <w:rFonts w:ascii="Arial" w:hAnsi="Arial" w:cs="Arial"/>
                <w:sz w:val="22"/>
                <w:szCs w:val="22"/>
              </w:rPr>
              <w:t>determine</w:t>
            </w:r>
            <w:proofErr w:type="gramEnd"/>
            <w:r w:rsidR="001E4128" w:rsidRPr="0074358A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gramStart"/>
            <w:r w:rsidR="001E4128" w:rsidRPr="0074358A">
              <w:rPr>
                <w:rFonts w:ascii="Arial" w:hAnsi="Arial" w:cs="Arial"/>
                <w:sz w:val="22"/>
                <w:szCs w:val="22"/>
              </w:rPr>
              <w:t>appropriate manner</w:t>
            </w:r>
            <w:proofErr w:type="gramEnd"/>
            <w:r w:rsidR="001E4128" w:rsidRPr="0074358A">
              <w:rPr>
                <w:rFonts w:ascii="Arial" w:hAnsi="Arial" w:cs="Arial"/>
                <w:sz w:val="22"/>
                <w:szCs w:val="22"/>
              </w:rPr>
              <w:t xml:space="preserve"> of service for each defendant </w:t>
            </w:r>
            <w:proofErr w:type="gramStart"/>
            <w:r w:rsidR="001E4128" w:rsidRPr="0074358A">
              <w:rPr>
                <w:rFonts w:ascii="Arial" w:hAnsi="Arial" w:cs="Arial"/>
                <w:sz w:val="22"/>
                <w:szCs w:val="22"/>
              </w:rPr>
              <w:t>being sued</w:t>
            </w:r>
            <w:proofErr w:type="gramEnd"/>
            <w:r w:rsidR="001E4128" w:rsidRPr="0074358A">
              <w:rPr>
                <w:rFonts w:ascii="Arial" w:hAnsi="Arial" w:cs="Arial"/>
                <w:sz w:val="22"/>
                <w:szCs w:val="22"/>
              </w:rPr>
              <w:t xml:space="preserve">.  Review </w:t>
            </w:r>
            <w:r w:rsidRPr="0074358A">
              <w:rPr>
                <w:rFonts w:ascii="Arial" w:hAnsi="Arial" w:cs="Arial"/>
                <w:i/>
                <w:sz w:val="22"/>
                <w:szCs w:val="22"/>
              </w:rPr>
              <w:t>A Process Server’s Handbook</w:t>
            </w:r>
            <w:r w:rsidRPr="0074358A">
              <w:rPr>
                <w:rFonts w:ascii="Arial" w:hAnsi="Arial" w:cs="Arial"/>
                <w:sz w:val="22"/>
                <w:szCs w:val="22"/>
              </w:rPr>
              <w:t xml:space="preserve"> for service requirements of complaints, petitions, notices of sale, orders, subpoenas, and other documents</w:t>
            </w:r>
            <w:r w:rsidR="00F879F5" w:rsidRPr="0074358A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74358A">
              <w:rPr>
                <w:rFonts w:ascii="Arial" w:hAnsi="Arial" w:cs="Arial"/>
                <w:sz w:val="22"/>
                <w:szCs w:val="22"/>
              </w:rPr>
              <w:t>This handbook also discusses the special requirements that apply when serving minors, incapacitated persons, partnerships,</w:t>
            </w:r>
            <w:r w:rsidR="00F50515" w:rsidRPr="0074358A">
              <w:rPr>
                <w:rFonts w:ascii="Arial" w:hAnsi="Arial" w:cs="Arial"/>
                <w:sz w:val="22"/>
                <w:szCs w:val="22"/>
              </w:rPr>
              <w:t xml:space="preserve"> FEDS, notices of restitution, </w:t>
            </w:r>
            <w:r w:rsidR="006A77F8" w:rsidRPr="0074358A">
              <w:rPr>
                <w:rFonts w:ascii="Arial" w:hAnsi="Arial" w:cs="Arial"/>
                <w:sz w:val="22"/>
                <w:szCs w:val="22"/>
              </w:rPr>
              <w:t xml:space="preserve">small claims, notices of sale in foreclosures, and protected persons </w:t>
            </w:r>
            <w:r w:rsidRPr="0074358A">
              <w:rPr>
                <w:rFonts w:ascii="Arial" w:hAnsi="Arial" w:cs="Arial"/>
                <w:sz w:val="22"/>
                <w:szCs w:val="22"/>
              </w:rPr>
              <w:t xml:space="preserve">in guardianships and </w:t>
            </w:r>
            <w:r w:rsidR="00F879F5" w:rsidRPr="0074358A">
              <w:rPr>
                <w:rFonts w:ascii="Arial" w:hAnsi="Arial" w:cs="Arial"/>
                <w:sz w:val="22"/>
                <w:szCs w:val="22"/>
              </w:rPr>
              <w:t>conservatorships</w:t>
            </w:r>
            <w:r w:rsidR="006A77F8" w:rsidRPr="0074358A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74358A">
              <w:rPr>
                <w:rFonts w:ascii="Arial" w:hAnsi="Arial" w:cs="Arial"/>
                <w:sz w:val="22"/>
                <w:szCs w:val="22"/>
              </w:rPr>
              <w:t xml:space="preserve">This resource is part of the program materials for the PLF CLE, </w:t>
            </w:r>
            <w:r w:rsidRPr="0074358A">
              <w:rPr>
                <w:rFonts w:ascii="Arial" w:hAnsi="Arial" w:cs="Arial"/>
                <w:i/>
                <w:sz w:val="22"/>
                <w:szCs w:val="22"/>
              </w:rPr>
              <w:t xml:space="preserve">Avoiding Malpractice When Filing and Serving a Complaint, </w:t>
            </w:r>
            <w:r w:rsidRPr="0074358A">
              <w:rPr>
                <w:rFonts w:ascii="Arial" w:hAnsi="Arial" w:cs="Arial"/>
                <w:sz w:val="22"/>
                <w:szCs w:val="22"/>
              </w:rPr>
              <w:t xml:space="preserve">available at </w:t>
            </w:r>
            <w:hyperlink r:id="rId8" w:history="1">
              <w:r w:rsidR="00560A2F" w:rsidRPr="0074358A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https://www.osbplf.org/cle-classes/avoiding-malpractice-claims-when-filing-and-serving-a-c/</w:t>
              </w:r>
            </w:hyperlink>
            <w:r w:rsidR="00F879F5" w:rsidRPr="0074358A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2430" w:type="dxa"/>
          </w:tcPr>
          <w:p w14:paraId="11E1D037" w14:textId="77777777" w:rsidR="00D65570" w:rsidRPr="0074358A" w:rsidRDefault="00F50515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One</w:t>
            </w:r>
            <w:r w:rsidR="00815BC9"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week before </w:t>
            </w:r>
            <w:proofErr w:type="gramStart"/>
            <w:r w:rsidR="00815BC9" w:rsidRPr="0074358A">
              <w:rPr>
                <w:rFonts w:ascii="Arial" w:hAnsi="Arial" w:cs="Arial"/>
                <w:spacing w:val="-2"/>
                <w:sz w:val="22"/>
                <w:szCs w:val="22"/>
              </w:rPr>
              <w:t>anticipated</w:t>
            </w:r>
            <w:proofErr w:type="gramEnd"/>
            <w:r w:rsidR="00815BC9"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filing date.</w:t>
            </w:r>
          </w:p>
        </w:tc>
        <w:tc>
          <w:tcPr>
            <w:tcW w:w="1620" w:type="dxa"/>
          </w:tcPr>
          <w:p w14:paraId="1EFD8AAD" w14:textId="77777777" w:rsidR="00D65570" w:rsidRPr="0074358A" w:rsidRDefault="00D65570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FBDC744" w14:textId="77777777" w:rsidR="00D65570" w:rsidRPr="0074358A" w:rsidRDefault="00D65570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BF256D" w:rsidRPr="0074358A" w14:paraId="27B9DC6B" w14:textId="77777777" w:rsidTr="00213DD5">
        <w:tc>
          <w:tcPr>
            <w:tcW w:w="4045" w:type="dxa"/>
          </w:tcPr>
          <w:p w14:paraId="435DB3D3" w14:textId="77777777" w:rsidR="00BF256D" w:rsidRPr="0074358A" w:rsidRDefault="00D65570" w:rsidP="003E30A2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Obtain funds for filing and service fees, </w:t>
            </w:r>
            <w:r w:rsidR="00BF256D" w:rsidRPr="0074358A">
              <w:rPr>
                <w:rFonts w:ascii="Arial" w:hAnsi="Arial" w:cs="Arial"/>
                <w:sz w:val="22"/>
                <w:szCs w:val="22"/>
              </w:rPr>
              <w:t xml:space="preserve">file complaint, prepare summons and true copies, deliver to process server or sheriff, </w:t>
            </w:r>
            <w:r w:rsidR="00F879F5" w:rsidRPr="0074358A"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gramStart"/>
            <w:r w:rsidR="00F879F5" w:rsidRPr="0074358A">
              <w:rPr>
                <w:rFonts w:ascii="Arial" w:hAnsi="Arial" w:cs="Arial"/>
                <w:sz w:val="22"/>
                <w:szCs w:val="22"/>
              </w:rPr>
              <w:t>transmit</w:t>
            </w:r>
            <w:proofErr w:type="gramEnd"/>
            <w:r w:rsidR="00BF256D" w:rsidRPr="0074358A">
              <w:rPr>
                <w:rFonts w:ascii="Arial" w:hAnsi="Arial" w:cs="Arial"/>
                <w:sz w:val="22"/>
                <w:szCs w:val="22"/>
              </w:rPr>
              <w:t xml:space="preserve"> courtesy copy of complaint to client</w:t>
            </w:r>
            <w:r w:rsidR="00F879F5" w:rsidRPr="0074358A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2430" w:type="dxa"/>
          </w:tcPr>
          <w:p w14:paraId="7CC88C9A" w14:textId="0FC75589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See PLF </w:t>
            </w:r>
            <w:r w:rsidR="0025379B"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Civil </w:t>
            </w: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Litigation Checklist for details.</w:t>
            </w:r>
          </w:p>
        </w:tc>
        <w:tc>
          <w:tcPr>
            <w:tcW w:w="1620" w:type="dxa"/>
          </w:tcPr>
          <w:p w14:paraId="34C6DFD0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C850FBE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BF256D" w:rsidRPr="0074358A" w14:paraId="4B191971" w14:textId="77777777" w:rsidTr="00213DD5">
        <w:tc>
          <w:tcPr>
            <w:tcW w:w="4045" w:type="dxa"/>
          </w:tcPr>
          <w:p w14:paraId="2049BA08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lastRenderedPageBreak/>
              <w:t>Follow-up with sheriff or process server re status of service on each defendant.</w:t>
            </w:r>
            <w:r w:rsidR="00DB47B4" w:rsidRPr="0074358A">
              <w:rPr>
                <w:rFonts w:ascii="Arial" w:hAnsi="Arial" w:cs="Arial"/>
                <w:sz w:val="22"/>
                <w:szCs w:val="22"/>
              </w:rPr>
              <w:t xml:space="preserve">  Service should </w:t>
            </w:r>
            <w:proofErr w:type="gramStart"/>
            <w:r w:rsidR="00DB47B4" w:rsidRPr="0074358A">
              <w:rPr>
                <w:rFonts w:ascii="Arial" w:hAnsi="Arial" w:cs="Arial"/>
                <w:sz w:val="22"/>
                <w:szCs w:val="22"/>
              </w:rPr>
              <w:t>be made</w:t>
            </w:r>
            <w:proofErr w:type="gramEnd"/>
            <w:r w:rsidR="00DB47B4" w:rsidRPr="0074358A">
              <w:rPr>
                <w:rFonts w:ascii="Arial" w:hAnsi="Arial" w:cs="Arial"/>
                <w:sz w:val="22"/>
                <w:szCs w:val="22"/>
              </w:rPr>
              <w:t xml:space="preserve"> within 60 days from the date the complaint </w:t>
            </w:r>
            <w:proofErr w:type="gramStart"/>
            <w:r w:rsidR="00DB47B4" w:rsidRPr="0074358A">
              <w:rPr>
                <w:rFonts w:ascii="Arial" w:hAnsi="Arial" w:cs="Arial"/>
                <w:sz w:val="22"/>
                <w:szCs w:val="22"/>
              </w:rPr>
              <w:t>is filed</w:t>
            </w:r>
            <w:proofErr w:type="gramEnd"/>
            <w:r w:rsidR="00DB47B4" w:rsidRPr="007435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4772917C" w14:textId="1C6F2FB2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See PLF</w:t>
            </w:r>
            <w:r w:rsidR="0025379B"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Civil</w:t>
            </w: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Litigation Checklist for details.</w:t>
            </w:r>
          </w:p>
        </w:tc>
        <w:tc>
          <w:tcPr>
            <w:tcW w:w="1620" w:type="dxa"/>
          </w:tcPr>
          <w:p w14:paraId="11440DF4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D7FD30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BF256D" w:rsidRPr="0074358A" w14:paraId="3FDDD4F2" w14:textId="77777777" w:rsidTr="00213DD5">
        <w:tc>
          <w:tcPr>
            <w:tcW w:w="4045" w:type="dxa"/>
          </w:tcPr>
          <w:p w14:paraId="1CF1D966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If personal service obtained:</w:t>
            </w:r>
          </w:p>
          <w:p w14:paraId="052DCD43" w14:textId="77777777" w:rsidR="00BF256D" w:rsidRPr="0074358A" w:rsidRDefault="00BF256D" w:rsidP="004A133E">
            <w:pPr>
              <w:pStyle w:val="BodyTextInden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Obtain Return of Service from process server or sheriff</w:t>
            </w:r>
          </w:p>
          <w:p w14:paraId="49284773" w14:textId="77777777" w:rsidR="00BF256D" w:rsidRPr="0074358A" w:rsidRDefault="00BF256D" w:rsidP="004A133E">
            <w:pPr>
              <w:pStyle w:val="BodyTextInden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File Return of Service with court</w:t>
            </w:r>
          </w:p>
          <w:p w14:paraId="2949E4E4" w14:textId="77777777" w:rsidR="00BF256D" w:rsidRPr="0074358A" w:rsidRDefault="00BF256D" w:rsidP="004A133E">
            <w:pPr>
              <w:pStyle w:val="BodyTextInden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Docket deadline for first appearance by defendant</w:t>
            </w:r>
          </w:p>
          <w:p w14:paraId="12DEB7B4" w14:textId="63314F6D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See ORS 12.020</w:t>
            </w:r>
            <w:r w:rsidR="00AA5FF6" w:rsidRPr="0074358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AA5FF6" w:rsidRPr="0074358A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="00AA5FF6" w:rsidRPr="0074358A">
              <w:rPr>
                <w:rFonts w:ascii="Arial" w:hAnsi="Arial" w:cs="Arial"/>
                <w:sz w:val="22"/>
                <w:szCs w:val="22"/>
              </w:rPr>
              <w:t xml:space="preserve"> 15A,</w:t>
            </w:r>
            <w:r w:rsidRPr="0074358A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74358A">
              <w:rPr>
                <w:rFonts w:ascii="Arial" w:hAnsi="Arial" w:cs="Arial"/>
                <w:sz w:val="22"/>
                <w:szCs w:val="22"/>
              </w:rPr>
              <w:t>UTCR</w:t>
            </w:r>
            <w:proofErr w:type="spellEnd"/>
            <w:r w:rsidRPr="0074358A">
              <w:rPr>
                <w:rFonts w:ascii="Arial" w:hAnsi="Arial" w:cs="Arial"/>
                <w:sz w:val="22"/>
                <w:szCs w:val="22"/>
              </w:rPr>
              <w:t xml:space="preserve"> 7.020(</w:t>
            </w:r>
            <w:r w:rsidR="001B75F8" w:rsidRPr="0074358A">
              <w:rPr>
                <w:rFonts w:ascii="Arial" w:hAnsi="Arial" w:cs="Arial"/>
                <w:sz w:val="22"/>
                <w:szCs w:val="22"/>
              </w:rPr>
              <w:t>1</w:t>
            </w:r>
            <w:r w:rsidRPr="0074358A">
              <w:rPr>
                <w:rFonts w:ascii="Arial" w:hAnsi="Arial" w:cs="Arial"/>
                <w:sz w:val="22"/>
                <w:szCs w:val="22"/>
              </w:rPr>
              <w:t>)</w:t>
            </w:r>
            <w:r w:rsidR="001B75F8" w:rsidRPr="0074358A">
              <w:rPr>
                <w:rFonts w:ascii="Arial" w:hAnsi="Arial" w:cs="Arial"/>
                <w:sz w:val="22"/>
                <w:szCs w:val="22"/>
              </w:rPr>
              <w:t>-(3)</w:t>
            </w:r>
            <w:r w:rsidR="00F879F5" w:rsidRPr="0074358A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2430" w:type="dxa"/>
          </w:tcPr>
          <w:p w14:paraId="053A22B3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Immediately following service.</w:t>
            </w:r>
          </w:p>
        </w:tc>
        <w:tc>
          <w:tcPr>
            <w:tcW w:w="1620" w:type="dxa"/>
          </w:tcPr>
          <w:p w14:paraId="2251EA3F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9435B9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BF256D" w:rsidRPr="0074358A" w14:paraId="227C1081" w14:textId="77777777" w:rsidTr="00213DD5">
        <w:tc>
          <w:tcPr>
            <w:tcW w:w="4045" w:type="dxa"/>
          </w:tcPr>
          <w:p w14:paraId="3C3F207B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If substituted or office service obtained:</w:t>
            </w:r>
          </w:p>
          <w:p w14:paraId="5CCDDCFB" w14:textId="77777777" w:rsidR="00BF256D" w:rsidRPr="0074358A" w:rsidRDefault="00BF256D" w:rsidP="004A133E">
            <w:pPr>
              <w:pStyle w:val="BodyTextInden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Obtain Return of Service from process server or sheriff</w:t>
            </w:r>
          </w:p>
          <w:p w14:paraId="60A38244" w14:textId="77777777" w:rsidR="00BF256D" w:rsidRPr="0074358A" w:rsidRDefault="00BF256D" w:rsidP="004A133E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File Return of Service with court</w:t>
            </w:r>
          </w:p>
          <w:p w14:paraId="7BC958EB" w14:textId="77777777" w:rsidR="00BF256D" w:rsidRPr="0074358A" w:rsidRDefault="00BF256D" w:rsidP="004A133E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Follow-up with service by first class mail</w:t>
            </w:r>
          </w:p>
          <w:p w14:paraId="766536FD" w14:textId="77777777" w:rsidR="00BF256D" w:rsidRPr="0074358A" w:rsidRDefault="00BF256D" w:rsidP="004A133E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File Affidavit documenting proof of follow-up mailing</w:t>
            </w:r>
          </w:p>
          <w:p w14:paraId="23FB7F6C" w14:textId="77777777" w:rsidR="00BF256D" w:rsidRPr="0074358A" w:rsidRDefault="00BF256D" w:rsidP="003E30A2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Service is complete upon such mailing.  </w:t>
            </w:r>
          </w:p>
          <w:p w14:paraId="0254214A" w14:textId="77777777" w:rsidR="00F50515" w:rsidRPr="0074358A" w:rsidRDefault="00F65BA3" w:rsidP="003E30A2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See </w:t>
            </w:r>
            <w:proofErr w:type="spellStart"/>
            <w:r w:rsidRPr="0074358A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Pr="0074358A">
              <w:rPr>
                <w:rFonts w:ascii="Arial" w:hAnsi="Arial" w:cs="Arial"/>
                <w:sz w:val="22"/>
                <w:szCs w:val="22"/>
              </w:rPr>
              <w:t xml:space="preserve"> 7 D(2)(b) and </w:t>
            </w:r>
            <w:proofErr w:type="spellStart"/>
            <w:r w:rsidRPr="0074358A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Pr="0074358A">
              <w:rPr>
                <w:rFonts w:ascii="Arial" w:hAnsi="Arial" w:cs="Arial"/>
                <w:sz w:val="22"/>
                <w:szCs w:val="22"/>
              </w:rPr>
              <w:t xml:space="preserve"> 7 D(2)(c).</w:t>
            </w:r>
            <w:r w:rsidR="00F50515" w:rsidRPr="007435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708DB932" w14:textId="77777777" w:rsidR="00BF256D" w:rsidRPr="0074358A" w:rsidRDefault="00BF256D" w:rsidP="0018116C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Immediately following service.  Mailings must </w:t>
            </w:r>
            <w:proofErr w:type="gramStart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be completed</w:t>
            </w:r>
            <w:proofErr w:type="gramEnd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within 60 days of </w:t>
            </w:r>
            <w:r w:rsidRPr="0074358A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the filing of</w:t>
            </w:r>
            <w:r w:rsidR="0018116C" w:rsidRPr="0074358A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the complaint.  </w:t>
            </w:r>
          </w:p>
        </w:tc>
        <w:tc>
          <w:tcPr>
            <w:tcW w:w="1620" w:type="dxa"/>
          </w:tcPr>
          <w:p w14:paraId="08069E8B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0FCE9C8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1A14260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BF256D" w:rsidRPr="0074358A" w14:paraId="655006E1" w14:textId="77777777" w:rsidTr="00213DD5">
        <w:trPr>
          <w:cantSplit/>
        </w:trPr>
        <w:tc>
          <w:tcPr>
            <w:tcW w:w="4045" w:type="dxa"/>
          </w:tcPr>
          <w:p w14:paraId="0C91E99C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Primary service by mail:</w:t>
            </w:r>
          </w:p>
          <w:p w14:paraId="54BBCE77" w14:textId="77777777" w:rsidR="00BF256D" w:rsidRPr="0074358A" w:rsidRDefault="00BF256D" w:rsidP="004A133E">
            <w:pPr>
              <w:pStyle w:val="BodyTextInden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See </w:t>
            </w:r>
            <w:proofErr w:type="spellStart"/>
            <w:r w:rsidRPr="0074358A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Pr="0074358A">
              <w:rPr>
                <w:rFonts w:ascii="Arial" w:hAnsi="Arial" w:cs="Arial"/>
                <w:sz w:val="22"/>
                <w:szCs w:val="22"/>
              </w:rPr>
              <w:t xml:space="preserve"> 7 D(2)(d) </w:t>
            </w:r>
            <w:r w:rsidR="00F65BA3" w:rsidRPr="0074358A">
              <w:rPr>
                <w:rFonts w:ascii="Arial" w:hAnsi="Arial" w:cs="Arial"/>
                <w:sz w:val="22"/>
                <w:szCs w:val="22"/>
              </w:rPr>
              <w:t xml:space="preserve">and </w:t>
            </w:r>
            <w:proofErr w:type="spellStart"/>
            <w:r w:rsidR="00F65BA3" w:rsidRPr="0074358A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="00F65BA3" w:rsidRPr="0074358A">
              <w:rPr>
                <w:rFonts w:ascii="Arial" w:hAnsi="Arial" w:cs="Arial"/>
                <w:sz w:val="22"/>
                <w:szCs w:val="22"/>
              </w:rPr>
              <w:t xml:space="preserve"> 7 </w:t>
            </w:r>
            <w:proofErr w:type="gramStart"/>
            <w:r w:rsidR="00F65BA3" w:rsidRPr="0074358A">
              <w:rPr>
                <w:rFonts w:ascii="Arial" w:hAnsi="Arial" w:cs="Arial"/>
                <w:sz w:val="22"/>
                <w:szCs w:val="22"/>
              </w:rPr>
              <w:t>D(</w:t>
            </w:r>
            <w:proofErr w:type="gramEnd"/>
            <w:r w:rsidR="00F65BA3" w:rsidRPr="0074358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Pr="0074358A">
              <w:rPr>
                <w:rFonts w:ascii="Arial" w:hAnsi="Arial" w:cs="Arial"/>
                <w:sz w:val="22"/>
                <w:szCs w:val="22"/>
              </w:rPr>
              <w:t>for restrictions</w:t>
            </w:r>
          </w:p>
          <w:p w14:paraId="43EC83AF" w14:textId="77777777" w:rsidR="00BF256D" w:rsidRPr="0074358A" w:rsidRDefault="00BF256D" w:rsidP="004A133E">
            <w:pPr>
              <w:pStyle w:val="BodyTextInden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Not available if the defendant is a minor or incapacitated</w:t>
            </w:r>
          </w:p>
          <w:p w14:paraId="6384A7A4" w14:textId="77777777" w:rsidR="00BF256D" w:rsidRPr="0074358A" w:rsidRDefault="00BF256D" w:rsidP="004A133E">
            <w:pPr>
              <w:pStyle w:val="BodyTextInden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Requires two mailings—one by first class mail and one by certified or registered mail, return receipt requested or U.S. Postal Service express mail.  Restricted delivery is </w:t>
            </w:r>
            <w:proofErr w:type="gramStart"/>
            <w:r w:rsidRPr="0074358A">
              <w:rPr>
                <w:rFonts w:ascii="Arial" w:hAnsi="Arial" w:cs="Arial"/>
                <w:sz w:val="22"/>
                <w:szCs w:val="22"/>
              </w:rPr>
              <w:t>advised</w:t>
            </w:r>
            <w:proofErr w:type="gramEnd"/>
            <w:r w:rsidRPr="0074358A">
              <w:rPr>
                <w:rFonts w:ascii="Arial" w:hAnsi="Arial" w:cs="Arial"/>
                <w:sz w:val="22"/>
                <w:szCs w:val="22"/>
              </w:rPr>
              <w:t>.</w:t>
            </w:r>
            <w:r w:rsidRPr="0074358A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  <w:p w14:paraId="73201AF6" w14:textId="77777777" w:rsidR="00BF256D" w:rsidRPr="0074358A" w:rsidRDefault="00BF256D" w:rsidP="004A133E">
            <w:pPr>
              <w:pStyle w:val="BodyTextIndent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Service is not effective until the defendant or “other person authorized by appointment or law” signs a receipt for the mailing</w:t>
            </w:r>
          </w:p>
          <w:p w14:paraId="31B74E26" w14:textId="77777777" w:rsidR="00BF256D" w:rsidRPr="0074358A" w:rsidRDefault="00BF256D" w:rsidP="004A133E">
            <w:pPr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File proof of service</w:t>
            </w:r>
          </w:p>
        </w:tc>
        <w:tc>
          <w:tcPr>
            <w:tcW w:w="2430" w:type="dxa"/>
          </w:tcPr>
          <w:p w14:paraId="603DC82B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Initiate same day as complaint </w:t>
            </w:r>
            <w:proofErr w:type="gramStart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is filed</w:t>
            </w:r>
            <w:proofErr w:type="gramEnd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.  Tickle follow-up re mailings for 10 days after date complaint </w:t>
            </w:r>
            <w:proofErr w:type="gramStart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is filed</w:t>
            </w:r>
            <w:proofErr w:type="gramEnd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3D34F496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397E59A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BF256D" w:rsidRPr="0074358A" w14:paraId="035E1729" w14:textId="77777777" w:rsidTr="00213DD5">
        <w:tc>
          <w:tcPr>
            <w:tcW w:w="4045" w:type="dxa"/>
          </w:tcPr>
          <w:p w14:paraId="4A24DFF2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lastRenderedPageBreak/>
              <w:t>Motor vehicle cases/accidents on premises open to the public as defined by law:</w:t>
            </w:r>
          </w:p>
          <w:p w14:paraId="03B02A93" w14:textId="77777777" w:rsidR="00BF256D" w:rsidRPr="0074358A" w:rsidRDefault="00BF256D" w:rsidP="00CF4BAE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Plaintiff must make at least one attempt to serve the defendant by another method (not mailing)</w:t>
            </w:r>
          </w:p>
          <w:p w14:paraId="185DECD9" w14:textId="77777777" w:rsidR="00BF256D" w:rsidRPr="0074358A" w:rsidRDefault="00BF256D" w:rsidP="00CF4BAE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Requires multiple mailings to multiple addresses</w:t>
            </w:r>
          </w:p>
          <w:p w14:paraId="6653F115" w14:textId="77777777" w:rsidR="00BF256D" w:rsidRPr="0074358A" w:rsidRDefault="00BF256D" w:rsidP="00CF4BAE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Affidavit of compliance must be </w:t>
            </w:r>
            <w:proofErr w:type="gramStart"/>
            <w:r w:rsidRPr="0074358A">
              <w:rPr>
                <w:rFonts w:ascii="Arial" w:hAnsi="Arial" w:cs="Arial"/>
                <w:sz w:val="22"/>
                <w:szCs w:val="22"/>
              </w:rPr>
              <w:t>timely</w:t>
            </w:r>
            <w:proofErr w:type="gramEnd"/>
            <w:r w:rsidRPr="0074358A">
              <w:rPr>
                <w:rFonts w:ascii="Arial" w:hAnsi="Arial" w:cs="Arial"/>
                <w:sz w:val="22"/>
                <w:szCs w:val="22"/>
              </w:rPr>
              <w:t xml:space="preserve"> filed</w:t>
            </w:r>
          </w:p>
          <w:p w14:paraId="3D54B1EF" w14:textId="77777777" w:rsidR="00BF256D" w:rsidRPr="0074358A" w:rsidRDefault="00BF256D" w:rsidP="00CF4BAE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Service on the Motor Vehicles Division is no longer </w:t>
            </w:r>
            <w:proofErr w:type="gramStart"/>
            <w:r w:rsidRPr="0074358A">
              <w:rPr>
                <w:rFonts w:ascii="Arial" w:hAnsi="Arial" w:cs="Arial"/>
                <w:sz w:val="22"/>
                <w:szCs w:val="22"/>
              </w:rPr>
              <w:t>permitted</w:t>
            </w:r>
            <w:proofErr w:type="gramEnd"/>
          </w:p>
          <w:p w14:paraId="753AE89A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See </w:t>
            </w:r>
            <w:proofErr w:type="spellStart"/>
            <w:r w:rsidRPr="0074358A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Pr="0074358A">
              <w:rPr>
                <w:rFonts w:ascii="Arial" w:hAnsi="Arial" w:cs="Arial"/>
                <w:sz w:val="22"/>
                <w:szCs w:val="22"/>
              </w:rPr>
              <w:t xml:space="preserve"> 7 </w:t>
            </w:r>
            <w:proofErr w:type="gramStart"/>
            <w:r w:rsidRPr="0074358A">
              <w:rPr>
                <w:rFonts w:ascii="Arial" w:hAnsi="Arial" w:cs="Arial"/>
                <w:sz w:val="22"/>
                <w:szCs w:val="22"/>
              </w:rPr>
              <w:t>D(</w:t>
            </w:r>
            <w:proofErr w:type="gramEnd"/>
            <w:r w:rsidRPr="0074358A">
              <w:rPr>
                <w:rFonts w:ascii="Arial" w:hAnsi="Arial" w:cs="Arial"/>
                <w:sz w:val="22"/>
                <w:szCs w:val="22"/>
              </w:rPr>
              <w:t>4).</w:t>
            </w:r>
          </w:p>
        </w:tc>
        <w:tc>
          <w:tcPr>
            <w:tcW w:w="2430" w:type="dxa"/>
          </w:tcPr>
          <w:p w14:paraId="6FFA406C" w14:textId="77777777" w:rsidR="00BF256D" w:rsidRPr="0074358A" w:rsidRDefault="00BF256D" w:rsidP="0018116C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Initiate </w:t>
            </w:r>
            <w:proofErr w:type="gramStart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immediately</w:t>
            </w:r>
            <w:proofErr w:type="gramEnd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when other service method(s) fail.  Service </w:t>
            </w:r>
            <w:proofErr w:type="gramStart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is completed</w:t>
            </w:r>
            <w:proofErr w:type="gramEnd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on the latest day on which </w:t>
            </w:r>
            <w:r w:rsidRPr="0074358A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any of</w:t>
            </w:r>
            <w:r w:rsidR="0018116C" w:rsidRPr="0074358A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the required mailings </w:t>
            </w:r>
            <w:proofErr w:type="gramStart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is made</w:t>
            </w:r>
            <w:proofErr w:type="gramEnd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.  Service must be </w:t>
            </w:r>
            <w:proofErr w:type="gramStart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accomplished</w:t>
            </w:r>
            <w:proofErr w:type="gramEnd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within 60 days of filing complaint.</w:t>
            </w:r>
          </w:p>
        </w:tc>
        <w:tc>
          <w:tcPr>
            <w:tcW w:w="1620" w:type="dxa"/>
          </w:tcPr>
          <w:p w14:paraId="6E865F66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06C91C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BF256D" w:rsidRPr="0074358A" w14:paraId="1714D6AB" w14:textId="77777777" w:rsidTr="00213DD5">
        <w:tc>
          <w:tcPr>
            <w:tcW w:w="4045" w:type="dxa"/>
          </w:tcPr>
          <w:p w14:paraId="4BAB2728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>Tenants of Mail Agents</w:t>
            </w:r>
          </w:p>
          <w:p w14:paraId="000A0A45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See </w:t>
            </w:r>
            <w:proofErr w:type="spellStart"/>
            <w:r w:rsidRPr="0074358A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Pr="0074358A">
              <w:rPr>
                <w:rFonts w:ascii="Arial" w:hAnsi="Arial" w:cs="Arial"/>
                <w:sz w:val="22"/>
                <w:szCs w:val="22"/>
              </w:rPr>
              <w:t xml:space="preserve"> 7 D(3)(a)(iv)</w:t>
            </w:r>
            <w:r w:rsidR="00806C3D" w:rsidRPr="007435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358A">
              <w:rPr>
                <w:rFonts w:ascii="Arial" w:hAnsi="Arial" w:cs="Arial"/>
                <w:sz w:val="22"/>
                <w:szCs w:val="22"/>
              </w:rPr>
              <w:t>and ORS 64</w:t>
            </w:r>
            <w:r w:rsidR="00D75F1B" w:rsidRPr="0074358A">
              <w:rPr>
                <w:rFonts w:ascii="Arial" w:hAnsi="Arial" w:cs="Arial"/>
                <w:sz w:val="22"/>
                <w:szCs w:val="22"/>
              </w:rPr>
              <w:t>6A.340</w:t>
            </w:r>
          </w:p>
        </w:tc>
        <w:tc>
          <w:tcPr>
            <w:tcW w:w="2430" w:type="dxa"/>
          </w:tcPr>
          <w:p w14:paraId="1C38994A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Initiate </w:t>
            </w:r>
            <w:proofErr w:type="gramStart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immediately</w:t>
            </w:r>
            <w:proofErr w:type="gramEnd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when other service methods fail.</w:t>
            </w:r>
          </w:p>
        </w:tc>
        <w:tc>
          <w:tcPr>
            <w:tcW w:w="1620" w:type="dxa"/>
          </w:tcPr>
          <w:p w14:paraId="425D6368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3BB64C0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BF256D" w:rsidRPr="0074358A" w14:paraId="1A4D9DE7" w14:textId="77777777" w:rsidTr="00213DD5">
        <w:tc>
          <w:tcPr>
            <w:tcW w:w="4045" w:type="dxa"/>
          </w:tcPr>
          <w:p w14:paraId="157C2B73" w14:textId="230756AA" w:rsidR="00BF256D" w:rsidRPr="0074358A" w:rsidRDefault="0046710A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Alternative </w:t>
            </w:r>
            <w:r w:rsidR="00BF256D" w:rsidRPr="0074358A">
              <w:rPr>
                <w:rFonts w:ascii="Arial" w:hAnsi="Arial" w:cs="Arial"/>
                <w:sz w:val="22"/>
                <w:szCs w:val="22"/>
              </w:rPr>
              <w:t>Service:</w:t>
            </w:r>
          </w:p>
          <w:p w14:paraId="72082035" w14:textId="1B67D3AD" w:rsidR="0046710A" w:rsidRPr="0074358A" w:rsidRDefault="00BF256D" w:rsidP="00CF4BAE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Available only upon court order when all other methods </w:t>
            </w:r>
            <w:proofErr w:type="gramStart"/>
            <w:r w:rsidRPr="0074358A">
              <w:rPr>
                <w:rFonts w:ascii="Arial" w:hAnsi="Arial" w:cs="Arial"/>
                <w:sz w:val="22"/>
                <w:szCs w:val="22"/>
              </w:rPr>
              <w:t>exhausted</w:t>
            </w:r>
            <w:proofErr w:type="gramEnd"/>
          </w:p>
          <w:p w14:paraId="4E4C318B" w14:textId="53AA9A0D" w:rsidR="00BF256D" w:rsidRPr="004E4443" w:rsidRDefault="00BF256D" w:rsidP="0046710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E4443">
              <w:rPr>
                <w:rFonts w:ascii="Arial" w:hAnsi="Arial" w:cs="Arial"/>
                <w:sz w:val="22"/>
                <w:szCs w:val="22"/>
              </w:rPr>
              <w:t>Publication</w:t>
            </w:r>
            <w:r w:rsidR="0046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4443">
              <w:rPr>
                <w:rFonts w:ascii="Arial" w:hAnsi="Arial" w:cs="Arial"/>
                <w:sz w:val="22"/>
                <w:szCs w:val="22"/>
              </w:rPr>
              <w:t>must be in a newspaper of general circulation</w:t>
            </w:r>
            <w:r w:rsidR="0046710A">
              <w:rPr>
                <w:rFonts w:ascii="Arial" w:hAnsi="Arial" w:cs="Arial"/>
                <w:sz w:val="22"/>
                <w:szCs w:val="22"/>
              </w:rPr>
              <w:t>; n</w:t>
            </w:r>
            <w:r w:rsidRPr="004E4443">
              <w:rPr>
                <w:rFonts w:ascii="Arial" w:hAnsi="Arial" w:cs="Arial"/>
                <w:sz w:val="22"/>
                <w:szCs w:val="22"/>
              </w:rPr>
              <w:t xml:space="preserve">otice must </w:t>
            </w:r>
            <w:proofErr w:type="gramStart"/>
            <w:r w:rsidRPr="004E4443">
              <w:rPr>
                <w:rFonts w:ascii="Arial" w:hAnsi="Arial" w:cs="Arial"/>
                <w:sz w:val="22"/>
                <w:szCs w:val="22"/>
              </w:rPr>
              <w:t>be published</w:t>
            </w:r>
            <w:proofErr w:type="gramEnd"/>
            <w:r w:rsidRPr="004E4443">
              <w:rPr>
                <w:rFonts w:ascii="Arial" w:hAnsi="Arial" w:cs="Arial"/>
                <w:sz w:val="22"/>
                <w:szCs w:val="22"/>
              </w:rPr>
              <w:t xml:space="preserve"> 4 times in successive calendar weeks</w:t>
            </w:r>
          </w:p>
          <w:p w14:paraId="1C1CAE21" w14:textId="71F8DE00" w:rsidR="0046710A" w:rsidRDefault="0046710A" w:rsidP="0046710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Electronic alternative service has very specific requirements</w:t>
            </w:r>
          </w:p>
          <w:p w14:paraId="4BECDD90" w14:textId="77777777" w:rsidR="0046710A" w:rsidRPr="004E4443" w:rsidRDefault="0046710A" w:rsidP="004E4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579E9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See </w:t>
            </w:r>
            <w:proofErr w:type="spellStart"/>
            <w:r w:rsidRPr="0074358A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Pr="0074358A">
              <w:rPr>
                <w:rFonts w:ascii="Arial" w:hAnsi="Arial" w:cs="Arial"/>
                <w:sz w:val="22"/>
                <w:szCs w:val="22"/>
              </w:rPr>
              <w:t xml:space="preserve"> 7 </w:t>
            </w:r>
            <w:proofErr w:type="gramStart"/>
            <w:r w:rsidRPr="0074358A">
              <w:rPr>
                <w:rFonts w:ascii="Arial" w:hAnsi="Arial" w:cs="Arial"/>
                <w:sz w:val="22"/>
                <w:szCs w:val="22"/>
              </w:rPr>
              <w:t>D(</w:t>
            </w:r>
            <w:proofErr w:type="gramEnd"/>
            <w:r w:rsidRPr="0074358A">
              <w:rPr>
                <w:rFonts w:ascii="Arial" w:hAnsi="Arial" w:cs="Arial"/>
                <w:sz w:val="22"/>
                <w:szCs w:val="22"/>
              </w:rPr>
              <w:t>6).</w:t>
            </w:r>
          </w:p>
        </w:tc>
        <w:tc>
          <w:tcPr>
            <w:tcW w:w="2430" w:type="dxa"/>
          </w:tcPr>
          <w:p w14:paraId="3EF2C65F" w14:textId="77777777" w:rsidR="00BF256D" w:rsidRPr="0074358A" w:rsidRDefault="00BF256D" w:rsidP="0018116C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Initiate </w:t>
            </w:r>
            <w:proofErr w:type="gramStart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immediately</w:t>
            </w:r>
            <w:proofErr w:type="gramEnd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 when other service methods fail.  </w:t>
            </w:r>
            <w:r w:rsidRPr="0074358A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No later than 3</w:t>
            </w:r>
            <w:r w:rsidR="0018116C" w:rsidRPr="0074358A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 xml:space="preserve">weeks after complaint </w:t>
            </w:r>
            <w:proofErr w:type="gramStart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is filed</w:t>
            </w:r>
            <w:proofErr w:type="gramEnd"/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02B1057B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2BE06D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BF256D" w:rsidRPr="0074358A" w14:paraId="229AB6EB" w14:textId="77777777" w:rsidTr="00213DD5">
        <w:tc>
          <w:tcPr>
            <w:tcW w:w="4045" w:type="dxa"/>
          </w:tcPr>
          <w:p w14:paraId="2EAF6B67" w14:textId="0E7B4D1C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File Return of Service.  </w:t>
            </w:r>
            <w:proofErr w:type="spellStart"/>
            <w:r w:rsidRPr="0074358A">
              <w:rPr>
                <w:rFonts w:ascii="Arial" w:hAnsi="Arial" w:cs="Arial"/>
                <w:sz w:val="22"/>
                <w:szCs w:val="22"/>
              </w:rPr>
              <w:t>UTCR</w:t>
            </w:r>
            <w:proofErr w:type="spellEnd"/>
            <w:r w:rsidRPr="0074358A">
              <w:rPr>
                <w:rFonts w:ascii="Arial" w:hAnsi="Arial" w:cs="Arial"/>
                <w:sz w:val="22"/>
                <w:szCs w:val="22"/>
              </w:rPr>
              <w:t xml:space="preserve"> 7.020(</w:t>
            </w:r>
            <w:r w:rsidR="007A7FCD" w:rsidRPr="0074358A">
              <w:rPr>
                <w:rFonts w:ascii="Arial" w:hAnsi="Arial" w:cs="Arial"/>
                <w:sz w:val="22"/>
                <w:szCs w:val="22"/>
              </w:rPr>
              <w:t>1</w:t>
            </w:r>
            <w:r w:rsidRPr="0074358A">
              <w:rPr>
                <w:rFonts w:ascii="Arial" w:hAnsi="Arial" w:cs="Arial"/>
                <w:sz w:val="22"/>
                <w:szCs w:val="22"/>
              </w:rPr>
              <w:t>)</w:t>
            </w:r>
            <w:r w:rsidR="007A7FCD" w:rsidRPr="0074358A">
              <w:rPr>
                <w:rFonts w:ascii="Arial" w:hAnsi="Arial" w:cs="Arial"/>
                <w:sz w:val="22"/>
                <w:szCs w:val="22"/>
              </w:rPr>
              <w:t>-(3)</w:t>
            </w:r>
            <w:r w:rsidRPr="0074358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1AB82902" w14:textId="77777777" w:rsidR="00BF256D" w:rsidRPr="0074358A" w:rsidRDefault="00BF256D" w:rsidP="0018116C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No later than 63</w:t>
            </w:r>
            <w:r w:rsidR="0018116C" w:rsidRPr="0074358A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days after filing of complaint.</w:t>
            </w:r>
          </w:p>
        </w:tc>
        <w:tc>
          <w:tcPr>
            <w:tcW w:w="1620" w:type="dxa"/>
          </w:tcPr>
          <w:p w14:paraId="2609FC5B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8230599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BF256D" w:rsidRPr="0074358A" w14:paraId="0E66BFEA" w14:textId="77777777" w:rsidTr="00213DD5">
        <w:tc>
          <w:tcPr>
            <w:tcW w:w="4045" w:type="dxa"/>
          </w:tcPr>
          <w:p w14:paraId="24682446" w14:textId="77777777" w:rsidR="00BF256D" w:rsidRPr="0074358A" w:rsidRDefault="00BF256D" w:rsidP="003E30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4358A">
              <w:rPr>
                <w:rFonts w:ascii="Arial" w:hAnsi="Arial" w:cs="Arial"/>
                <w:sz w:val="22"/>
                <w:szCs w:val="22"/>
              </w:rPr>
              <w:t xml:space="preserve">First Appearance due for each defendant.  </w:t>
            </w:r>
            <w:proofErr w:type="spellStart"/>
            <w:r w:rsidRPr="0074358A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Pr="0074358A">
              <w:rPr>
                <w:rFonts w:ascii="Arial" w:hAnsi="Arial" w:cs="Arial"/>
                <w:sz w:val="22"/>
                <w:szCs w:val="22"/>
              </w:rPr>
              <w:t xml:space="preserve"> 7 </w:t>
            </w:r>
            <w:proofErr w:type="gramStart"/>
            <w:r w:rsidRPr="0074358A">
              <w:rPr>
                <w:rFonts w:ascii="Arial" w:hAnsi="Arial" w:cs="Arial"/>
                <w:sz w:val="22"/>
                <w:szCs w:val="22"/>
              </w:rPr>
              <w:t>C(</w:t>
            </w:r>
            <w:proofErr w:type="gramEnd"/>
            <w:r w:rsidR="00DB47B4" w:rsidRPr="0074358A">
              <w:rPr>
                <w:rFonts w:ascii="Arial" w:hAnsi="Arial" w:cs="Arial"/>
                <w:sz w:val="22"/>
                <w:szCs w:val="22"/>
              </w:rPr>
              <w:t>2</w:t>
            </w:r>
            <w:r w:rsidRPr="0074358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2430" w:type="dxa"/>
          </w:tcPr>
          <w:p w14:paraId="4A444F2C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4358A">
              <w:rPr>
                <w:rFonts w:ascii="Arial" w:hAnsi="Arial" w:cs="Arial"/>
                <w:spacing w:val="-2"/>
                <w:sz w:val="22"/>
                <w:szCs w:val="22"/>
              </w:rPr>
              <w:t>Within 30 days of service unless extension obtained.</w:t>
            </w:r>
            <w:r w:rsidRPr="0074358A">
              <w:rPr>
                <w:rStyle w:val="FootnoteReference"/>
                <w:rFonts w:ascii="Arial" w:hAnsi="Arial" w:cs="Arial"/>
                <w:spacing w:val="-2"/>
                <w:sz w:val="22"/>
                <w:szCs w:val="22"/>
              </w:rPr>
              <w:footnoteReference w:id="2"/>
            </w:r>
          </w:p>
        </w:tc>
        <w:tc>
          <w:tcPr>
            <w:tcW w:w="1620" w:type="dxa"/>
          </w:tcPr>
          <w:p w14:paraId="399E183C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1149A0E" w14:textId="77777777" w:rsidR="00BF256D" w:rsidRPr="0074358A" w:rsidRDefault="00BF256D" w:rsidP="003E30A2">
            <w:pPr>
              <w:tabs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5B15B73D" w14:textId="77777777" w:rsidR="00574D4B" w:rsidRDefault="00574D4B" w:rsidP="0074358A">
      <w:pPr>
        <w:pStyle w:val="EnvelopeReturn"/>
        <w:jc w:val="center"/>
        <w:rPr>
          <w:rFonts w:ascii="Arial" w:hAnsi="Arial" w:cs="Arial"/>
          <w:b/>
          <w:sz w:val="22"/>
          <w:szCs w:val="22"/>
        </w:rPr>
      </w:pPr>
    </w:p>
    <w:p w14:paraId="202188F4" w14:textId="77777777" w:rsidR="00574D4B" w:rsidRPr="00574D4B" w:rsidRDefault="00574D4B" w:rsidP="00574D4B">
      <w:pPr>
        <w:pStyle w:val="EnvelopeReturn"/>
        <w:rPr>
          <w:rFonts w:ascii="Arial" w:hAnsi="Arial" w:cs="Arial"/>
          <w:b/>
          <w:sz w:val="22"/>
          <w:szCs w:val="22"/>
        </w:rPr>
      </w:pPr>
      <w:r w:rsidRPr="00574D4B">
        <w:rPr>
          <w:rFonts w:ascii="Arial" w:hAnsi="Arial" w:cs="Arial"/>
          <w:b/>
          <w:sz w:val="22"/>
          <w:szCs w:val="22"/>
        </w:rPr>
        <w:t xml:space="preserve">*All tickler dates must </w:t>
      </w:r>
      <w:proofErr w:type="gramStart"/>
      <w:r w:rsidRPr="00574D4B">
        <w:rPr>
          <w:rFonts w:ascii="Arial" w:hAnsi="Arial" w:cs="Arial"/>
          <w:b/>
          <w:sz w:val="22"/>
          <w:szCs w:val="22"/>
        </w:rPr>
        <w:t>be entered</w:t>
      </w:r>
      <w:proofErr w:type="gramEnd"/>
      <w:r w:rsidRPr="00574D4B">
        <w:rPr>
          <w:rFonts w:ascii="Arial" w:hAnsi="Arial" w:cs="Arial"/>
          <w:b/>
          <w:sz w:val="22"/>
          <w:szCs w:val="22"/>
        </w:rPr>
        <w:t xml:space="preserve"> in the firm’s calendar or docket.</w:t>
      </w:r>
    </w:p>
    <w:p w14:paraId="418FC119" w14:textId="77777777" w:rsidR="00574D4B" w:rsidRPr="00574D4B" w:rsidRDefault="00574D4B" w:rsidP="00574D4B">
      <w:pPr>
        <w:pStyle w:val="EnvelopeReturn"/>
        <w:jc w:val="center"/>
        <w:rPr>
          <w:rFonts w:ascii="Arial" w:hAnsi="Arial" w:cs="Arial"/>
          <w:bCs/>
          <w:sz w:val="22"/>
          <w:szCs w:val="22"/>
        </w:rPr>
      </w:pPr>
    </w:p>
    <w:p w14:paraId="4B2DB1D3" w14:textId="42EFA85C" w:rsidR="00574D4B" w:rsidRPr="00574D4B" w:rsidRDefault="00574D4B" w:rsidP="00574D4B">
      <w:pPr>
        <w:pStyle w:val="EnvelopeReturn"/>
        <w:jc w:val="center"/>
        <w:rPr>
          <w:rFonts w:ascii="Arial" w:hAnsi="Arial" w:cs="Arial"/>
          <w:bCs/>
          <w:sz w:val="22"/>
          <w:szCs w:val="22"/>
        </w:rPr>
      </w:pPr>
      <w:r w:rsidRPr="00574D4B">
        <w:rPr>
          <w:rFonts w:ascii="Arial" w:hAnsi="Arial" w:cs="Arial"/>
          <w:bCs/>
          <w:sz w:val="22"/>
          <w:szCs w:val="22"/>
        </w:rPr>
        <w:t xml:space="preserve">THE AUTHORS: Adina Matasaru and Iayesha Smith of the law firm of </w:t>
      </w:r>
      <w:proofErr w:type="spellStart"/>
      <w:r w:rsidRPr="00574D4B">
        <w:rPr>
          <w:rFonts w:ascii="Arial" w:hAnsi="Arial" w:cs="Arial"/>
          <w:bCs/>
          <w:sz w:val="22"/>
          <w:szCs w:val="22"/>
        </w:rPr>
        <w:t>Harrang</w:t>
      </w:r>
      <w:proofErr w:type="spellEnd"/>
      <w:r w:rsidRPr="00574D4B">
        <w:rPr>
          <w:rFonts w:ascii="Arial" w:hAnsi="Arial" w:cs="Arial"/>
          <w:bCs/>
          <w:sz w:val="22"/>
          <w:szCs w:val="22"/>
        </w:rPr>
        <w:t xml:space="preserve"> Long P.C.</w:t>
      </w:r>
    </w:p>
    <w:p w14:paraId="37A99125" w14:textId="330BCC63" w:rsidR="0074358A" w:rsidRPr="00E06804" w:rsidRDefault="0074358A" w:rsidP="0074358A">
      <w:pPr>
        <w:pStyle w:val="EnvelopeReturn"/>
        <w:jc w:val="center"/>
        <w:rPr>
          <w:rFonts w:ascii="Arial" w:hAnsi="Arial" w:cs="Arial"/>
          <w:b/>
          <w:sz w:val="22"/>
          <w:szCs w:val="22"/>
        </w:rPr>
      </w:pPr>
      <w:r w:rsidRPr="00E06804">
        <w:rPr>
          <w:rFonts w:ascii="Arial" w:hAnsi="Arial" w:cs="Arial"/>
          <w:b/>
          <w:sz w:val="22"/>
          <w:szCs w:val="22"/>
        </w:rPr>
        <w:lastRenderedPageBreak/>
        <w:t>IMPORTANT NOTICES</w:t>
      </w:r>
    </w:p>
    <w:p w14:paraId="1DD41413" w14:textId="77777777" w:rsidR="00C16FDA" w:rsidRPr="0074358A" w:rsidRDefault="00C16FDA" w:rsidP="00C16FDA">
      <w:pPr>
        <w:rPr>
          <w:rFonts w:ascii="Arial" w:hAnsi="Arial" w:cs="Arial"/>
          <w:sz w:val="22"/>
          <w:szCs w:val="22"/>
        </w:rPr>
      </w:pPr>
    </w:p>
    <w:p w14:paraId="525ECB5C" w14:textId="33A98E0F" w:rsidR="00C16FDA" w:rsidRDefault="00C16FDA" w:rsidP="004E444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74358A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74358A">
        <w:rPr>
          <w:rFonts w:ascii="Arial" w:hAnsi="Arial" w:cs="Arial"/>
          <w:sz w:val="22"/>
          <w:szCs w:val="22"/>
        </w:rPr>
        <w:t>is provided</w:t>
      </w:r>
      <w:proofErr w:type="gramEnd"/>
      <w:r w:rsidRPr="0074358A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74358A">
        <w:rPr>
          <w:rFonts w:ascii="Arial" w:hAnsi="Arial" w:cs="Arial"/>
          <w:sz w:val="22"/>
          <w:szCs w:val="22"/>
        </w:rPr>
        <w:t>establish</w:t>
      </w:r>
      <w:proofErr w:type="gramEnd"/>
      <w:r w:rsidRPr="0074358A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 Readers should conduct their own </w:t>
      </w:r>
      <w:proofErr w:type="gramStart"/>
      <w:r w:rsidRPr="0074358A">
        <w:rPr>
          <w:rFonts w:ascii="Arial" w:hAnsi="Arial" w:cs="Arial"/>
          <w:sz w:val="22"/>
          <w:szCs w:val="22"/>
        </w:rPr>
        <w:t>appropriate legal</w:t>
      </w:r>
      <w:proofErr w:type="gramEnd"/>
      <w:r w:rsidRPr="0074358A">
        <w:rPr>
          <w:rFonts w:ascii="Arial" w:hAnsi="Arial" w:cs="Arial"/>
          <w:sz w:val="22"/>
          <w:szCs w:val="22"/>
        </w:rPr>
        <w:t xml:space="preserve"> research.  The information presented does not </w:t>
      </w:r>
      <w:proofErr w:type="gramStart"/>
      <w:r w:rsidRPr="0074358A">
        <w:rPr>
          <w:rFonts w:ascii="Arial" w:hAnsi="Arial" w:cs="Arial"/>
          <w:sz w:val="22"/>
          <w:szCs w:val="22"/>
        </w:rPr>
        <w:t>represent</w:t>
      </w:r>
      <w:proofErr w:type="gramEnd"/>
      <w:r w:rsidRPr="0074358A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74358A">
        <w:rPr>
          <w:rFonts w:ascii="Arial" w:hAnsi="Arial" w:cs="Arial"/>
          <w:sz w:val="22"/>
          <w:szCs w:val="22"/>
        </w:rPr>
        <w:t>be republished</w:t>
      </w:r>
      <w:proofErr w:type="gramEnd"/>
      <w:r w:rsidRPr="0074358A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74358A">
        <w:rPr>
          <w:rFonts w:ascii="Arial" w:hAnsi="Arial" w:cs="Arial"/>
          <w:sz w:val="22"/>
          <w:szCs w:val="22"/>
        </w:rPr>
        <w:t>is granted</w:t>
      </w:r>
      <w:proofErr w:type="gramEnd"/>
      <w:r w:rsidRPr="0074358A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74358A">
        <w:rPr>
          <w:rFonts w:ascii="Arial" w:hAnsi="Arial" w:cs="Arial"/>
          <w:sz w:val="22"/>
          <w:szCs w:val="22"/>
        </w:rPr>
        <w:t>modify</w:t>
      </w:r>
      <w:proofErr w:type="gramEnd"/>
      <w:r w:rsidRPr="0074358A">
        <w:rPr>
          <w:rFonts w:ascii="Arial" w:hAnsi="Arial" w:cs="Arial"/>
          <w:sz w:val="22"/>
          <w:szCs w:val="22"/>
        </w:rPr>
        <w:t xml:space="preserve"> these materials for use in their own practices.  © 202</w:t>
      </w:r>
      <w:r w:rsidR="00C77B74">
        <w:rPr>
          <w:rFonts w:ascii="Arial" w:hAnsi="Arial" w:cs="Arial"/>
          <w:sz w:val="22"/>
          <w:szCs w:val="22"/>
        </w:rPr>
        <w:t>5</w:t>
      </w:r>
      <w:r w:rsidRPr="0074358A">
        <w:rPr>
          <w:rFonts w:ascii="Arial" w:hAnsi="Arial" w:cs="Arial"/>
          <w:sz w:val="22"/>
          <w:szCs w:val="22"/>
        </w:rPr>
        <w:t xml:space="preserve"> OSB Professional Liability Fund</w:t>
      </w:r>
    </w:p>
    <w:p w14:paraId="4F682E51" w14:textId="77777777" w:rsidR="00471F3E" w:rsidRDefault="00471F3E" w:rsidP="004E444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64CD590B" w14:textId="77777777" w:rsidR="00471F3E" w:rsidRDefault="00471F3E" w:rsidP="004E444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41CFB2A6" w14:textId="77777777" w:rsidR="00471F3E" w:rsidRDefault="00471F3E" w:rsidP="004E444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62CB6682" w14:textId="77777777" w:rsidR="00471F3E" w:rsidRPr="0074358A" w:rsidRDefault="00471F3E" w:rsidP="004E444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sectPr w:rsidR="00471F3E" w:rsidRPr="0074358A" w:rsidSect="00213DD5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684A" w14:textId="77777777" w:rsidR="00604271" w:rsidRDefault="00604271">
      <w:r>
        <w:separator/>
      </w:r>
    </w:p>
  </w:endnote>
  <w:endnote w:type="continuationSeparator" w:id="0">
    <w:p w14:paraId="0650D813" w14:textId="77777777" w:rsidR="00604271" w:rsidRDefault="0060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B43D" w14:textId="1DA232A1" w:rsidR="00AA5FF6" w:rsidRPr="00B47A1E" w:rsidRDefault="00AA5FF6" w:rsidP="00D126FC">
    <w:pPr>
      <w:pStyle w:val="Footer"/>
      <w:tabs>
        <w:tab w:val="clear" w:pos="8640"/>
        <w:tab w:val="right" w:pos="10080"/>
      </w:tabs>
      <w:rPr>
        <w:sz w:val="16"/>
        <w:szCs w:val="16"/>
      </w:rPr>
    </w:pPr>
    <w:r>
      <w:rPr>
        <w:rFonts w:ascii="Arial" w:hAnsi="Arial"/>
        <w:sz w:val="16"/>
        <w:szCs w:val="16"/>
      </w:rPr>
      <w:t>PROFESSIONAL LIABILITY FUND [Rev. 1</w:t>
    </w:r>
    <w:r w:rsidR="0074358A">
      <w:rPr>
        <w:rFonts w:ascii="Arial" w:hAnsi="Arial"/>
        <w:sz w:val="16"/>
        <w:szCs w:val="16"/>
      </w:rPr>
      <w:t>0</w:t>
    </w:r>
    <w:r>
      <w:rPr>
        <w:rFonts w:ascii="Arial" w:hAnsi="Arial"/>
        <w:sz w:val="16"/>
        <w:szCs w:val="16"/>
      </w:rPr>
      <w:t>/202</w:t>
    </w:r>
    <w:r w:rsidR="004B1B40">
      <w:rPr>
        <w:rFonts w:ascii="Arial" w:hAnsi="Arial"/>
        <w:sz w:val="16"/>
        <w:szCs w:val="16"/>
      </w:rPr>
      <w:t>5</w:t>
    </w:r>
    <w:r>
      <w:rPr>
        <w:rFonts w:ascii="Arial" w:hAnsi="Arial"/>
        <w:sz w:val="16"/>
        <w:szCs w:val="16"/>
      </w:rPr>
      <w:t>]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Service of Process Checklist – Page </w:t>
    </w:r>
    <w:r w:rsidRPr="00B47A1E">
      <w:rPr>
        <w:rFonts w:ascii="Arial" w:hAnsi="Arial"/>
        <w:sz w:val="16"/>
        <w:szCs w:val="16"/>
      </w:rPr>
      <w:fldChar w:fldCharType="begin"/>
    </w:r>
    <w:r w:rsidRPr="00B47A1E">
      <w:rPr>
        <w:rFonts w:ascii="Arial" w:hAnsi="Arial"/>
        <w:sz w:val="16"/>
        <w:szCs w:val="16"/>
      </w:rPr>
      <w:instrText xml:space="preserve"> PAGE   \* MERGEFORMAT </w:instrText>
    </w:r>
    <w:r w:rsidRPr="00B47A1E">
      <w:rPr>
        <w:rFonts w:ascii="Arial" w:hAnsi="Arial"/>
        <w:sz w:val="16"/>
        <w:szCs w:val="16"/>
      </w:rPr>
      <w:fldChar w:fldCharType="separate"/>
    </w:r>
    <w:r w:rsidR="00C16FDA">
      <w:rPr>
        <w:rFonts w:ascii="Arial" w:hAnsi="Arial"/>
        <w:noProof/>
        <w:sz w:val="16"/>
        <w:szCs w:val="16"/>
      </w:rPr>
      <w:t>4</w:t>
    </w:r>
    <w:r w:rsidRPr="00B47A1E">
      <w:rPr>
        <w:rFonts w:ascii="Arial" w:hAnsi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EC7A" w14:textId="77777777" w:rsidR="00AA5FF6" w:rsidRDefault="00AA5FF6">
    <w:pPr>
      <w:pStyle w:val="Footer"/>
      <w:tabs>
        <w:tab w:val="clear" w:pos="8640"/>
        <w:tab w:val="right" w:pos="9990"/>
      </w:tabs>
      <w:spacing w:before="40"/>
    </w:pPr>
    <w:r>
      <w:rPr>
        <w:rFonts w:ascii="Arial" w:hAnsi="Arial"/>
        <w:sz w:val="14"/>
      </w:rPr>
      <w:t>Rev 1/2016]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 xml:space="preserve">PROFESSIONAL LIABILITY FUND (SERVICE OF PROCESS </w:t>
    </w:r>
    <w:proofErr w:type="spellStart"/>
    <w:r>
      <w:rPr>
        <w:rFonts w:ascii="Arial" w:hAnsi="Arial"/>
        <w:sz w:val="14"/>
      </w:rPr>
      <w:t>CHECKL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04BA" w14:textId="77777777" w:rsidR="00604271" w:rsidRDefault="00604271">
      <w:r>
        <w:separator/>
      </w:r>
    </w:p>
  </w:footnote>
  <w:footnote w:type="continuationSeparator" w:id="0">
    <w:p w14:paraId="7BB7FB90" w14:textId="77777777" w:rsidR="00604271" w:rsidRDefault="00604271">
      <w:r>
        <w:continuationSeparator/>
      </w:r>
    </w:p>
  </w:footnote>
  <w:footnote w:id="1">
    <w:p w14:paraId="7BD2F5B7" w14:textId="77777777" w:rsidR="00AA5FF6" w:rsidRPr="00A22AFA" w:rsidRDefault="00AA5FF6">
      <w:pPr>
        <w:pStyle w:val="FootnoteText"/>
        <w:rPr>
          <w:rFonts w:ascii="Arial" w:hAnsi="Arial" w:cs="Arial"/>
          <w:sz w:val="18"/>
          <w:szCs w:val="18"/>
        </w:rPr>
      </w:pPr>
      <w:r w:rsidRPr="00A22AFA">
        <w:rPr>
          <w:rStyle w:val="FootnoteReference"/>
          <w:rFonts w:ascii="Arial" w:hAnsi="Arial" w:cs="Arial"/>
          <w:sz w:val="18"/>
          <w:szCs w:val="18"/>
        </w:rPr>
        <w:footnoteRef/>
      </w:r>
      <w:r w:rsidRPr="00A22AFA">
        <w:rPr>
          <w:rFonts w:ascii="Arial" w:hAnsi="Arial" w:cs="Arial"/>
          <w:sz w:val="18"/>
          <w:szCs w:val="18"/>
        </w:rPr>
        <w:t xml:space="preserve"> See ORCP 7 D(3)(a)(i) and </w:t>
      </w:r>
      <w:r w:rsidRPr="00A22AFA">
        <w:rPr>
          <w:rFonts w:ascii="Arial" w:hAnsi="Arial" w:cs="Arial"/>
          <w:i/>
          <w:sz w:val="18"/>
          <w:szCs w:val="18"/>
        </w:rPr>
        <w:t>Edwards v. Edwards</w:t>
      </w:r>
      <w:r w:rsidRPr="00A22AFA">
        <w:rPr>
          <w:rFonts w:ascii="Arial" w:hAnsi="Arial" w:cs="Arial"/>
          <w:sz w:val="18"/>
          <w:szCs w:val="18"/>
        </w:rPr>
        <w:t>, 310 Or 672, 680-81, 801 P2d 782 (1990).</w:t>
      </w:r>
    </w:p>
  </w:footnote>
  <w:footnote w:id="2">
    <w:p w14:paraId="6325E854" w14:textId="7A2CA6D5" w:rsidR="00AA5FF6" w:rsidRPr="0057378C" w:rsidRDefault="00AA5FF6" w:rsidP="0057378C">
      <w:pPr>
        <w:pStyle w:val="FootnoteText"/>
        <w:rPr>
          <w:rFonts w:ascii="Arial" w:hAnsi="Arial" w:cs="Arial"/>
          <w:sz w:val="18"/>
          <w:szCs w:val="18"/>
        </w:rPr>
      </w:pPr>
      <w:r w:rsidRPr="00A22AFA">
        <w:rPr>
          <w:rStyle w:val="FootnoteReference"/>
          <w:rFonts w:ascii="Arial" w:hAnsi="Arial" w:cs="Arial"/>
          <w:sz w:val="18"/>
          <w:szCs w:val="18"/>
        </w:rPr>
        <w:footnoteRef/>
      </w:r>
      <w:r w:rsidRPr="00A22AFA">
        <w:rPr>
          <w:rFonts w:ascii="Arial" w:hAnsi="Arial" w:cs="Arial"/>
          <w:sz w:val="18"/>
          <w:szCs w:val="18"/>
        </w:rPr>
        <w:t xml:space="preserve"> Extensions should be conditioned on the defendant agreeing to waive any potential defects in filing, service, timeliness, etc., if there is any possible statute of limitations issue.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37DD" w14:textId="77777777" w:rsidR="00AA5FF6" w:rsidRDefault="00AA5FF6" w:rsidP="00D126FC"/>
  <w:p w14:paraId="728FF406" w14:textId="52C2881C" w:rsidR="00AA5FF6" w:rsidRPr="00B47A1E" w:rsidRDefault="00AA5FF6" w:rsidP="00D126FC">
    <w:pPr>
      <w:pStyle w:val="Title"/>
      <w:rPr>
        <w:rFonts w:ascii="Arial" w:hAnsi="Arial"/>
        <w:sz w:val="24"/>
        <w:szCs w:val="24"/>
      </w:rPr>
    </w:pPr>
    <w:r w:rsidRPr="00B47A1E">
      <w:rPr>
        <w:rFonts w:ascii="Arial" w:hAnsi="Arial"/>
        <w:sz w:val="24"/>
        <w:szCs w:val="24"/>
      </w:rPr>
      <w:t xml:space="preserve">SERVICE OF </w:t>
    </w:r>
    <w:r>
      <w:rPr>
        <w:rFonts w:ascii="Arial" w:hAnsi="Arial"/>
        <w:sz w:val="24"/>
        <w:szCs w:val="24"/>
      </w:rPr>
      <w:t>PROCESS CHECKLIST IN OREGON COURTS</w:t>
    </w:r>
  </w:p>
  <w:p w14:paraId="17916E36" w14:textId="77777777" w:rsidR="00AA5FF6" w:rsidRDefault="00AA5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9E8A" w14:textId="77777777" w:rsidR="00AA5FF6" w:rsidRPr="00B47A1E" w:rsidRDefault="00AA5FF6" w:rsidP="00D126FC">
    <w:pPr>
      <w:pStyle w:val="Title"/>
      <w:rPr>
        <w:rFonts w:ascii="Arial" w:hAnsi="Arial"/>
        <w:sz w:val="24"/>
        <w:szCs w:val="24"/>
      </w:rPr>
    </w:pPr>
    <w:r w:rsidRPr="00B47A1E">
      <w:rPr>
        <w:rFonts w:ascii="Arial" w:hAnsi="Arial"/>
        <w:sz w:val="24"/>
        <w:szCs w:val="24"/>
      </w:rPr>
      <w:t>SERVICE OF PROCESS CHECKLIST—Oregon Courts</w:t>
    </w:r>
  </w:p>
  <w:p w14:paraId="54EFDAB7" w14:textId="77777777" w:rsidR="00AA5FF6" w:rsidRDefault="00AA5FF6" w:rsidP="00D126FC">
    <w:pPr>
      <w:pStyle w:val="Header"/>
      <w:tabs>
        <w:tab w:val="clear" w:pos="4320"/>
      </w:tabs>
      <w:jc w:val="center"/>
      <w:rPr>
        <w:rFonts w:ascii="Arial" w:hAnsi="Arial"/>
        <w:spacing w:val="-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648C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94A79"/>
    <w:multiLevelType w:val="singleLevel"/>
    <w:tmpl w:val="855698D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</w:abstractNum>
  <w:abstractNum w:abstractNumId="2" w15:restartNumberingAfterBreak="0">
    <w:nsid w:val="0F8E6DF6"/>
    <w:multiLevelType w:val="hybridMultilevel"/>
    <w:tmpl w:val="71A8D5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71B33"/>
    <w:multiLevelType w:val="singleLevel"/>
    <w:tmpl w:val="BFC22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146775BE"/>
    <w:multiLevelType w:val="singleLevel"/>
    <w:tmpl w:val="BFC22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173D4480"/>
    <w:multiLevelType w:val="singleLevel"/>
    <w:tmpl w:val="BFC22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187043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32222F"/>
    <w:multiLevelType w:val="singleLevel"/>
    <w:tmpl w:val="6CB26298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16"/>
      </w:rPr>
    </w:lvl>
  </w:abstractNum>
  <w:abstractNum w:abstractNumId="8" w15:restartNumberingAfterBreak="0">
    <w:nsid w:val="239D65F5"/>
    <w:multiLevelType w:val="singleLevel"/>
    <w:tmpl w:val="BFC22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24F514F5"/>
    <w:multiLevelType w:val="singleLevel"/>
    <w:tmpl w:val="FDF43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 w15:restartNumberingAfterBreak="0">
    <w:nsid w:val="26036A6D"/>
    <w:multiLevelType w:val="singleLevel"/>
    <w:tmpl w:val="BFC22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2AA536F8"/>
    <w:multiLevelType w:val="singleLevel"/>
    <w:tmpl w:val="BFC22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 w15:restartNumberingAfterBreak="0">
    <w:nsid w:val="31973C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261528"/>
    <w:multiLevelType w:val="singleLevel"/>
    <w:tmpl w:val="3A1C9D7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</w:abstractNum>
  <w:abstractNum w:abstractNumId="14" w15:restartNumberingAfterBreak="0">
    <w:nsid w:val="3AC7320D"/>
    <w:multiLevelType w:val="singleLevel"/>
    <w:tmpl w:val="BFC22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3C5C57B4"/>
    <w:multiLevelType w:val="singleLevel"/>
    <w:tmpl w:val="9F5C0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 w15:restartNumberingAfterBreak="0">
    <w:nsid w:val="4E9A3C40"/>
    <w:multiLevelType w:val="singleLevel"/>
    <w:tmpl w:val="BFC22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7" w15:restartNumberingAfterBreak="0">
    <w:nsid w:val="50D3724A"/>
    <w:multiLevelType w:val="singleLevel"/>
    <w:tmpl w:val="BFC22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 w15:restartNumberingAfterBreak="0">
    <w:nsid w:val="5A344043"/>
    <w:multiLevelType w:val="singleLevel"/>
    <w:tmpl w:val="048CF1B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61F07423"/>
    <w:multiLevelType w:val="singleLevel"/>
    <w:tmpl w:val="FDF43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 w15:restartNumberingAfterBreak="0">
    <w:nsid w:val="64ED1516"/>
    <w:multiLevelType w:val="singleLevel"/>
    <w:tmpl w:val="6CB26298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16"/>
      </w:rPr>
    </w:lvl>
  </w:abstractNum>
  <w:abstractNum w:abstractNumId="21" w15:restartNumberingAfterBreak="0">
    <w:nsid w:val="7D04663C"/>
    <w:multiLevelType w:val="singleLevel"/>
    <w:tmpl w:val="82D6D38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</w:abstractNum>
  <w:num w:numId="1" w16cid:durableId="100344137">
    <w:abstractNumId w:val="6"/>
  </w:num>
  <w:num w:numId="2" w16cid:durableId="1700472349">
    <w:abstractNumId w:val="12"/>
  </w:num>
  <w:num w:numId="3" w16cid:durableId="1798908302">
    <w:abstractNumId w:val="19"/>
  </w:num>
  <w:num w:numId="4" w16cid:durableId="1484155925">
    <w:abstractNumId w:val="9"/>
  </w:num>
  <w:num w:numId="5" w16cid:durableId="356005642">
    <w:abstractNumId w:val="20"/>
  </w:num>
  <w:num w:numId="6" w16cid:durableId="1032921418">
    <w:abstractNumId w:val="7"/>
  </w:num>
  <w:num w:numId="7" w16cid:durableId="1811702827">
    <w:abstractNumId w:val="13"/>
  </w:num>
  <w:num w:numId="8" w16cid:durableId="1874540925">
    <w:abstractNumId w:val="1"/>
  </w:num>
  <w:num w:numId="9" w16cid:durableId="157430364">
    <w:abstractNumId w:val="21"/>
  </w:num>
  <w:num w:numId="10" w16cid:durableId="1913617040">
    <w:abstractNumId w:val="15"/>
  </w:num>
  <w:num w:numId="11" w16cid:durableId="1825077883">
    <w:abstractNumId w:val="5"/>
  </w:num>
  <w:num w:numId="12" w16cid:durableId="487064186">
    <w:abstractNumId w:val="11"/>
  </w:num>
  <w:num w:numId="13" w16cid:durableId="634681770">
    <w:abstractNumId w:val="4"/>
  </w:num>
  <w:num w:numId="14" w16cid:durableId="1603682256">
    <w:abstractNumId w:val="14"/>
  </w:num>
  <w:num w:numId="15" w16cid:durableId="1167936130">
    <w:abstractNumId w:val="16"/>
  </w:num>
  <w:num w:numId="16" w16cid:durableId="1879315109">
    <w:abstractNumId w:val="10"/>
  </w:num>
  <w:num w:numId="17" w16cid:durableId="433288123">
    <w:abstractNumId w:val="3"/>
  </w:num>
  <w:num w:numId="18" w16cid:durableId="796991650">
    <w:abstractNumId w:val="8"/>
  </w:num>
  <w:num w:numId="19" w16cid:durableId="1227883196">
    <w:abstractNumId w:val="18"/>
  </w:num>
  <w:num w:numId="20" w16cid:durableId="1124733127">
    <w:abstractNumId w:val="17"/>
  </w:num>
  <w:num w:numId="21" w16cid:durableId="1336034366">
    <w:abstractNumId w:val="0"/>
  </w:num>
  <w:num w:numId="22" w16cid:durableId="1442455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B0"/>
    <w:rsid w:val="00091002"/>
    <w:rsid w:val="000F4E43"/>
    <w:rsid w:val="00104076"/>
    <w:rsid w:val="00105178"/>
    <w:rsid w:val="0018116C"/>
    <w:rsid w:val="001B75F8"/>
    <w:rsid w:val="001B7B5D"/>
    <w:rsid w:val="001E4128"/>
    <w:rsid w:val="00213DD5"/>
    <w:rsid w:val="00223432"/>
    <w:rsid w:val="00240E6E"/>
    <w:rsid w:val="0025379B"/>
    <w:rsid w:val="00275589"/>
    <w:rsid w:val="002916D7"/>
    <w:rsid w:val="00346DA0"/>
    <w:rsid w:val="003816DA"/>
    <w:rsid w:val="003E30A2"/>
    <w:rsid w:val="00405D0D"/>
    <w:rsid w:val="00440ABB"/>
    <w:rsid w:val="0046000F"/>
    <w:rsid w:val="0046710A"/>
    <w:rsid w:val="00471F3E"/>
    <w:rsid w:val="004A133E"/>
    <w:rsid w:val="004B1B40"/>
    <w:rsid w:val="004B32BA"/>
    <w:rsid w:val="004D7CC1"/>
    <w:rsid w:val="004E4443"/>
    <w:rsid w:val="005112F8"/>
    <w:rsid w:val="00514A2F"/>
    <w:rsid w:val="005337B6"/>
    <w:rsid w:val="00560A2F"/>
    <w:rsid w:val="0057378C"/>
    <w:rsid w:val="00574D4B"/>
    <w:rsid w:val="00581C26"/>
    <w:rsid w:val="005A0C94"/>
    <w:rsid w:val="005C64A0"/>
    <w:rsid w:val="005E5FA0"/>
    <w:rsid w:val="005F025F"/>
    <w:rsid w:val="00604271"/>
    <w:rsid w:val="0061009A"/>
    <w:rsid w:val="006340FC"/>
    <w:rsid w:val="0065274B"/>
    <w:rsid w:val="00681C20"/>
    <w:rsid w:val="006822A8"/>
    <w:rsid w:val="006A77F8"/>
    <w:rsid w:val="006D7E02"/>
    <w:rsid w:val="0074358A"/>
    <w:rsid w:val="0075324F"/>
    <w:rsid w:val="00781952"/>
    <w:rsid w:val="00784ACB"/>
    <w:rsid w:val="007A6D44"/>
    <w:rsid w:val="007A7FCD"/>
    <w:rsid w:val="007B611E"/>
    <w:rsid w:val="007C2608"/>
    <w:rsid w:val="007C590D"/>
    <w:rsid w:val="007D39EF"/>
    <w:rsid w:val="007E3BEF"/>
    <w:rsid w:val="007E5B30"/>
    <w:rsid w:val="00806C3D"/>
    <w:rsid w:val="00815BC9"/>
    <w:rsid w:val="00827456"/>
    <w:rsid w:val="00870E8B"/>
    <w:rsid w:val="008B752E"/>
    <w:rsid w:val="00923B8B"/>
    <w:rsid w:val="0093364E"/>
    <w:rsid w:val="009438A3"/>
    <w:rsid w:val="009728F1"/>
    <w:rsid w:val="009A5EB2"/>
    <w:rsid w:val="009E0678"/>
    <w:rsid w:val="00A010D4"/>
    <w:rsid w:val="00A16F5A"/>
    <w:rsid w:val="00A22AFA"/>
    <w:rsid w:val="00A25ACD"/>
    <w:rsid w:val="00A36ECB"/>
    <w:rsid w:val="00A564C5"/>
    <w:rsid w:val="00A66C91"/>
    <w:rsid w:val="00A86333"/>
    <w:rsid w:val="00AA5FF6"/>
    <w:rsid w:val="00B05005"/>
    <w:rsid w:val="00B103FB"/>
    <w:rsid w:val="00B35464"/>
    <w:rsid w:val="00B47A1E"/>
    <w:rsid w:val="00B82B1E"/>
    <w:rsid w:val="00B85E1F"/>
    <w:rsid w:val="00B903C4"/>
    <w:rsid w:val="00BB1716"/>
    <w:rsid w:val="00BF256D"/>
    <w:rsid w:val="00C16FDA"/>
    <w:rsid w:val="00C341F7"/>
    <w:rsid w:val="00C51FC5"/>
    <w:rsid w:val="00C77B74"/>
    <w:rsid w:val="00C8433A"/>
    <w:rsid w:val="00CA41F6"/>
    <w:rsid w:val="00CB38CB"/>
    <w:rsid w:val="00CE64AF"/>
    <w:rsid w:val="00CF1F98"/>
    <w:rsid w:val="00CF4BAE"/>
    <w:rsid w:val="00CF77B0"/>
    <w:rsid w:val="00D126FC"/>
    <w:rsid w:val="00D22096"/>
    <w:rsid w:val="00D24667"/>
    <w:rsid w:val="00D46B6F"/>
    <w:rsid w:val="00D5250A"/>
    <w:rsid w:val="00D65570"/>
    <w:rsid w:val="00D75F1B"/>
    <w:rsid w:val="00D822D6"/>
    <w:rsid w:val="00D83F8D"/>
    <w:rsid w:val="00DA6805"/>
    <w:rsid w:val="00DB47B4"/>
    <w:rsid w:val="00E43203"/>
    <w:rsid w:val="00E75676"/>
    <w:rsid w:val="00EB7FB6"/>
    <w:rsid w:val="00EC4ADE"/>
    <w:rsid w:val="00ED23EA"/>
    <w:rsid w:val="00F038D9"/>
    <w:rsid w:val="00F11764"/>
    <w:rsid w:val="00F50515"/>
    <w:rsid w:val="00F65BA3"/>
    <w:rsid w:val="00F706A7"/>
    <w:rsid w:val="00F802F6"/>
    <w:rsid w:val="00F879F5"/>
    <w:rsid w:val="00FD4365"/>
    <w:rsid w:val="00FE5760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82784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jc w:val="center"/>
      <w:outlineLvl w:val="0"/>
    </w:pPr>
    <w:rPr>
      <w:rFonts w:ascii="Univers" w:hAnsi="Univers"/>
      <w:b/>
      <w:spacing w:val="-2"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suppressAutoHyphens/>
      <w:jc w:val="center"/>
      <w:outlineLvl w:val="1"/>
    </w:pPr>
    <w:rPr>
      <w:rFonts w:ascii="Univers" w:hAnsi="Univers"/>
      <w:b/>
      <w:spacing w:val="-2"/>
      <w:sz w:val="14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uppressAutoHyphens/>
      <w:jc w:val="center"/>
      <w:outlineLvl w:val="2"/>
    </w:pPr>
    <w:rPr>
      <w:rFonts w:ascii="Univers" w:hAnsi="Univers"/>
      <w:b/>
      <w:spacing w:val="-2"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suppressAutoHyphens/>
      <w:jc w:val="center"/>
      <w:outlineLvl w:val="3"/>
    </w:pPr>
    <w:rPr>
      <w:rFonts w:ascii="Univers" w:hAnsi="Univers"/>
      <w:b/>
      <w:spacing w:val="-2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suppressAutoHyphens/>
      <w:jc w:val="center"/>
    </w:pPr>
    <w:rPr>
      <w:rFonts w:ascii="Univers" w:hAnsi="Univers"/>
      <w:b/>
      <w:spacing w:val="-3"/>
      <w:sz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odyText">
    <w:name w:val="Body Text"/>
    <w:basedOn w:val="Normal"/>
    <w:rPr>
      <w:rFonts w:ascii="Univers" w:hAnsi="Univers"/>
      <w:sz w:val="20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D75F1B"/>
    <w:rPr>
      <w:rFonts w:ascii="Tahoma" w:hAnsi="Tahoma" w:cs="Tahoma"/>
      <w:sz w:val="16"/>
      <w:szCs w:val="16"/>
    </w:rPr>
  </w:style>
  <w:style w:type="character" w:styleId="Hyperlink">
    <w:name w:val="Hyperlink"/>
    <w:rsid w:val="00A010D4"/>
    <w:rPr>
      <w:color w:val="0000FF"/>
      <w:u w:val="single"/>
    </w:rPr>
  </w:style>
  <w:style w:type="character" w:styleId="FollowedHyperlink">
    <w:name w:val="FollowedHyperlink"/>
    <w:rsid w:val="005337B6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unhideWhenUsed/>
    <w:rsid w:val="0018116C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6822A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A2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1B75F8"/>
    <w:rPr>
      <w:sz w:val="24"/>
    </w:rPr>
  </w:style>
  <w:style w:type="paragraph" w:styleId="EnvelopeReturn">
    <w:name w:val="envelope return"/>
    <w:basedOn w:val="Normal"/>
    <w:rsid w:val="0074358A"/>
    <w:rPr>
      <w:rFonts w:asciiTheme="majorHAnsi" w:eastAsiaTheme="majorEastAsia" w:hAnsiTheme="majorHAnsi" w:cstheme="majorBidi"/>
      <w:sz w:val="20"/>
    </w:rPr>
  </w:style>
  <w:style w:type="paragraph" w:styleId="ListParagraph">
    <w:name w:val="List Paragraph"/>
    <w:basedOn w:val="Normal"/>
    <w:uiPriority w:val="72"/>
    <w:qFormat/>
    <w:rsid w:val="0046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bplf.org/cle-classes/avoiding-malpractice-claims-when-filing-and-serving-a-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bplf.org/cle-classes/avoiding-malpractice-claims-when-filing-and-serving-a-c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FBF3E504-FED4-45FC-9C59-8EE65F44727F}"/>
</file>

<file path=customXml/itemProps2.xml><?xml version="1.0" encoding="utf-8"?>
<ds:datastoreItem xmlns:ds="http://schemas.openxmlformats.org/officeDocument/2006/customXml" ds:itemID="{08D6FAD9-285E-4336-BB36-330C39ED8848}"/>
</file>

<file path=customXml/itemProps3.xml><?xml version="1.0" encoding="utf-8"?>
<ds:datastoreItem xmlns:ds="http://schemas.openxmlformats.org/officeDocument/2006/customXml" ds:itemID="{9832137A-E3C4-4E45-841D-50668245F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4309</Characters>
  <Application>Microsoft Office Word</Application>
  <DocSecurity>0</DocSecurity>
  <PresentationFormat>15|.DOCX</PresentationFormat>
  <Lines>212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5044</CharactersWithSpaces>
  <SharedDoc>false</SharedDoc>
  <HLinks>
    <vt:vector size="12" baseType="variant"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https://www.osbplf.org/cle_classes/avoiding-malpractice-when-filing-and-serving-a-complain/view/</vt:lpwstr>
      </vt:variant>
      <vt:variant>
        <vt:lpwstr/>
      </vt:variant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https://www.osbplf.org/cle_classes/avoiding-malpractice-when-filing-and-serving-a-complain/view/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2025-11-02T03:49:00Z</dcterms:created>
  <dcterms:modified xsi:type="dcterms:W3CDTF">2025-11-02T03:49:00Z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222000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  <property fmtid="{D5CDD505-2E9C-101B-9397-08002B2CF9AE}" pid="5" name="docLang">
    <vt:lpwstr>en</vt:lpwstr>
  </property>
</Properties>
</file>