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CD8B" w14:textId="112D4152" w:rsidR="002734EF" w:rsidRPr="00A45523" w:rsidRDefault="002734EF" w:rsidP="00DE599E">
      <w:pPr>
        <w:rPr>
          <w:rFonts w:ascii="Arial" w:hAnsi="Arial" w:cs="Arial"/>
          <w:bCs/>
          <w:iCs/>
          <w:sz w:val="22"/>
          <w:szCs w:val="22"/>
        </w:rPr>
      </w:pPr>
      <w:r w:rsidRPr="00A45523">
        <w:rPr>
          <w:rFonts w:ascii="Arial" w:hAnsi="Arial" w:cs="Arial"/>
          <w:bCs/>
          <w:iCs/>
          <w:sz w:val="22"/>
          <w:szCs w:val="22"/>
        </w:rPr>
        <w:t>To stay organized, you may want to create a one-page at-a-glance sheet that provides key information you regularly need in one place so you can access it quickly.</w:t>
      </w:r>
      <w:r w:rsidR="00DE599E" w:rsidRPr="00A45523">
        <w:rPr>
          <w:rFonts w:ascii="Arial" w:hAnsi="Arial" w:cs="Arial"/>
          <w:bCs/>
          <w:iCs/>
          <w:sz w:val="22"/>
          <w:szCs w:val="22"/>
        </w:rPr>
        <w:t xml:space="preserve"> See a sample below:</w:t>
      </w:r>
    </w:p>
    <w:p w14:paraId="102F96D2" w14:textId="0CB9BA54" w:rsidR="00DE599E" w:rsidRPr="00A45523" w:rsidRDefault="00DE599E" w:rsidP="00DE599E">
      <w:pPr>
        <w:rPr>
          <w:rFonts w:ascii="Arial" w:hAnsi="Arial" w:cs="Arial"/>
          <w:bCs/>
          <w:iCs/>
          <w:sz w:val="22"/>
          <w:szCs w:val="22"/>
        </w:rPr>
      </w:pPr>
    </w:p>
    <w:tbl>
      <w:tblPr>
        <w:tblStyle w:val="TableGrid"/>
        <w:tblW w:w="0" w:type="auto"/>
        <w:tblLook w:val="04A0" w:firstRow="1" w:lastRow="0" w:firstColumn="1" w:lastColumn="0" w:noHBand="0" w:noVBand="1"/>
      </w:tblPr>
      <w:tblGrid>
        <w:gridCol w:w="4675"/>
        <w:gridCol w:w="4675"/>
      </w:tblGrid>
      <w:tr w:rsidR="00DE599E" w:rsidRPr="00A45523" w14:paraId="6D8B7D84" w14:textId="77777777" w:rsidTr="00FB659B">
        <w:tc>
          <w:tcPr>
            <w:tcW w:w="9350" w:type="dxa"/>
            <w:gridSpan w:val="2"/>
          </w:tcPr>
          <w:p w14:paraId="1EDF09E6" w14:textId="34F3A685" w:rsidR="00DE599E" w:rsidRPr="00A45523" w:rsidRDefault="00DE599E" w:rsidP="00DE599E">
            <w:pPr>
              <w:rPr>
                <w:rFonts w:ascii="Arial" w:hAnsi="Arial" w:cs="Arial"/>
                <w:bCs/>
                <w:iCs/>
                <w:sz w:val="22"/>
                <w:szCs w:val="22"/>
              </w:rPr>
            </w:pPr>
            <w:r w:rsidRPr="00A45523">
              <w:rPr>
                <w:rFonts w:ascii="Arial" w:hAnsi="Arial" w:cs="Arial"/>
                <w:bCs/>
                <w:iCs/>
                <w:sz w:val="22"/>
                <w:szCs w:val="22"/>
              </w:rPr>
              <w:t>JANE DOE- UIM CLAIM</w:t>
            </w:r>
          </w:p>
        </w:tc>
      </w:tr>
      <w:tr w:rsidR="00DE599E" w:rsidRPr="00A45523" w14:paraId="71B2CFFE" w14:textId="77777777" w:rsidTr="00DE599E">
        <w:tc>
          <w:tcPr>
            <w:tcW w:w="4675" w:type="dxa"/>
          </w:tcPr>
          <w:p w14:paraId="1B5B1D4D" w14:textId="6463982B" w:rsidR="00DE599E" w:rsidRPr="00A45523" w:rsidRDefault="00DE599E" w:rsidP="00DE599E">
            <w:pPr>
              <w:rPr>
                <w:rFonts w:ascii="Arial" w:hAnsi="Arial" w:cs="Arial"/>
                <w:bCs/>
                <w:iCs/>
                <w:sz w:val="22"/>
                <w:szCs w:val="22"/>
              </w:rPr>
            </w:pPr>
            <w:r w:rsidRPr="00A45523">
              <w:rPr>
                <w:rFonts w:ascii="Arial" w:hAnsi="Arial" w:cs="Arial"/>
                <w:bCs/>
                <w:iCs/>
                <w:sz w:val="22"/>
                <w:szCs w:val="22"/>
              </w:rPr>
              <w:t>Venue: Washington County (</w:t>
            </w:r>
            <w:r w:rsidR="007D666A">
              <w:rPr>
                <w:rFonts w:ascii="Arial" w:hAnsi="Arial" w:cs="Arial"/>
                <w:bCs/>
                <w:iCs/>
                <w:sz w:val="22"/>
                <w:szCs w:val="22"/>
              </w:rPr>
              <w:t>C00</w:t>
            </w:r>
            <w:r w:rsidRPr="00A45523">
              <w:rPr>
                <w:rFonts w:ascii="Arial" w:hAnsi="Arial" w:cs="Arial"/>
                <w:bCs/>
                <w:iCs/>
                <w:sz w:val="22"/>
                <w:szCs w:val="22"/>
              </w:rPr>
              <w:t>0000CV)</w:t>
            </w:r>
          </w:p>
        </w:tc>
        <w:tc>
          <w:tcPr>
            <w:tcW w:w="4675" w:type="dxa"/>
          </w:tcPr>
          <w:p w14:paraId="1342A960" w14:textId="77777777" w:rsidR="00DE599E" w:rsidRPr="00A45523" w:rsidRDefault="00DE599E" w:rsidP="00DE599E">
            <w:pPr>
              <w:rPr>
                <w:rFonts w:ascii="Arial" w:hAnsi="Arial" w:cs="Arial"/>
                <w:bCs/>
                <w:iCs/>
                <w:sz w:val="22"/>
                <w:szCs w:val="22"/>
              </w:rPr>
            </w:pPr>
            <w:r w:rsidRPr="00A45523">
              <w:rPr>
                <w:rFonts w:ascii="Arial" w:hAnsi="Arial" w:cs="Arial"/>
                <w:bCs/>
                <w:iCs/>
                <w:sz w:val="22"/>
                <w:szCs w:val="22"/>
              </w:rPr>
              <w:t>Opposing Counsel: Jane Smith</w:t>
            </w:r>
          </w:p>
          <w:p w14:paraId="124D1020" w14:textId="77777777" w:rsidR="00982C8A" w:rsidRPr="00A45523" w:rsidRDefault="00982C8A" w:rsidP="00DE599E">
            <w:pPr>
              <w:rPr>
                <w:rFonts w:ascii="Arial" w:hAnsi="Arial" w:cs="Arial"/>
                <w:bCs/>
                <w:iCs/>
                <w:sz w:val="22"/>
                <w:szCs w:val="22"/>
              </w:rPr>
            </w:pPr>
            <w:r w:rsidRPr="00A45523">
              <w:rPr>
                <w:rFonts w:ascii="Arial" w:hAnsi="Arial" w:cs="Arial"/>
                <w:bCs/>
                <w:iCs/>
                <w:sz w:val="22"/>
                <w:szCs w:val="22"/>
              </w:rPr>
              <w:t>Phone:</w:t>
            </w:r>
          </w:p>
          <w:p w14:paraId="117FDFA1" w14:textId="68B46E14" w:rsidR="00982C8A" w:rsidRPr="00A45523" w:rsidRDefault="00982C8A" w:rsidP="00DE599E">
            <w:pPr>
              <w:rPr>
                <w:rFonts w:ascii="Arial" w:hAnsi="Arial" w:cs="Arial"/>
                <w:bCs/>
                <w:iCs/>
                <w:sz w:val="22"/>
                <w:szCs w:val="22"/>
              </w:rPr>
            </w:pPr>
            <w:r w:rsidRPr="00A45523">
              <w:rPr>
                <w:rFonts w:ascii="Arial" w:hAnsi="Arial" w:cs="Arial"/>
                <w:bCs/>
                <w:iCs/>
                <w:sz w:val="22"/>
                <w:szCs w:val="22"/>
              </w:rPr>
              <w:t>Email:</w:t>
            </w:r>
          </w:p>
        </w:tc>
      </w:tr>
      <w:tr w:rsidR="00DE599E" w:rsidRPr="00A45523" w14:paraId="557B2383" w14:textId="77777777" w:rsidTr="00DE599E">
        <w:tc>
          <w:tcPr>
            <w:tcW w:w="4675" w:type="dxa"/>
          </w:tcPr>
          <w:p w14:paraId="73E23F6D" w14:textId="7E82B263" w:rsidR="00DE599E" w:rsidRPr="00A45523" w:rsidRDefault="00DE599E" w:rsidP="00DE599E">
            <w:pPr>
              <w:rPr>
                <w:rFonts w:ascii="Arial" w:hAnsi="Arial" w:cs="Arial"/>
                <w:bCs/>
                <w:iCs/>
                <w:sz w:val="22"/>
                <w:szCs w:val="22"/>
              </w:rPr>
            </w:pPr>
            <w:r w:rsidRPr="00A45523">
              <w:rPr>
                <w:rFonts w:ascii="Arial" w:hAnsi="Arial" w:cs="Arial"/>
                <w:bCs/>
                <w:iCs/>
                <w:sz w:val="22"/>
                <w:szCs w:val="22"/>
              </w:rPr>
              <w:t>UIM Arb</w:t>
            </w:r>
            <w:r w:rsidR="00B34997">
              <w:rPr>
                <w:rFonts w:ascii="Arial" w:hAnsi="Arial" w:cs="Arial"/>
                <w:bCs/>
                <w:iCs/>
                <w:sz w:val="22"/>
                <w:szCs w:val="22"/>
              </w:rPr>
              <w:t>/Trial</w:t>
            </w:r>
            <w:r w:rsidRPr="00A45523">
              <w:rPr>
                <w:rFonts w:ascii="Arial" w:hAnsi="Arial" w:cs="Arial"/>
                <w:bCs/>
                <w:iCs/>
                <w:sz w:val="22"/>
                <w:szCs w:val="22"/>
              </w:rPr>
              <w:t xml:space="preserve"> Date: </w:t>
            </w:r>
          </w:p>
        </w:tc>
        <w:tc>
          <w:tcPr>
            <w:tcW w:w="4675" w:type="dxa"/>
          </w:tcPr>
          <w:p w14:paraId="49A8380D" w14:textId="52AD9328" w:rsidR="00DE599E" w:rsidRPr="00A45523" w:rsidRDefault="00DE599E" w:rsidP="00DE599E">
            <w:pPr>
              <w:rPr>
                <w:rFonts w:ascii="Arial" w:hAnsi="Arial" w:cs="Arial"/>
                <w:bCs/>
                <w:iCs/>
                <w:sz w:val="22"/>
                <w:szCs w:val="22"/>
              </w:rPr>
            </w:pPr>
            <w:r w:rsidRPr="00A45523">
              <w:rPr>
                <w:rFonts w:ascii="Arial" w:hAnsi="Arial" w:cs="Arial"/>
                <w:bCs/>
                <w:iCs/>
                <w:sz w:val="22"/>
                <w:szCs w:val="22"/>
              </w:rPr>
              <w:t>Claim No. XXXXXXXX</w:t>
            </w:r>
          </w:p>
        </w:tc>
      </w:tr>
      <w:tr w:rsidR="00E0228A" w:rsidRPr="00A45523" w14:paraId="6AA90FA6" w14:textId="77777777" w:rsidTr="003C7B44">
        <w:tc>
          <w:tcPr>
            <w:tcW w:w="9350" w:type="dxa"/>
            <w:gridSpan w:val="2"/>
          </w:tcPr>
          <w:p w14:paraId="6D18C777" w14:textId="410B8527" w:rsidR="00E0228A" w:rsidRPr="00A45523" w:rsidRDefault="00E0228A" w:rsidP="00DE599E">
            <w:pPr>
              <w:rPr>
                <w:rFonts w:ascii="Arial" w:hAnsi="Arial" w:cs="Arial"/>
                <w:bCs/>
                <w:iCs/>
                <w:sz w:val="22"/>
                <w:szCs w:val="22"/>
              </w:rPr>
            </w:pPr>
            <w:r w:rsidRPr="00A45523">
              <w:rPr>
                <w:rFonts w:ascii="Arial" w:hAnsi="Arial" w:cs="Arial"/>
                <w:bCs/>
                <w:iCs/>
                <w:sz w:val="22"/>
                <w:szCs w:val="22"/>
              </w:rPr>
              <w:t>KEY CONTACT INFORMATION:</w:t>
            </w:r>
          </w:p>
        </w:tc>
      </w:tr>
      <w:tr w:rsidR="00982C8A" w:rsidRPr="00A45523" w14:paraId="15DB8285" w14:textId="77777777" w:rsidTr="00DE599E">
        <w:tc>
          <w:tcPr>
            <w:tcW w:w="4675" w:type="dxa"/>
          </w:tcPr>
          <w:p w14:paraId="4F80DB3A" w14:textId="422BB8C9" w:rsidR="00982C8A" w:rsidRPr="00A45523" w:rsidRDefault="00982C8A" w:rsidP="00DE599E">
            <w:pPr>
              <w:rPr>
                <w:rFonts w:ascii="Arial" w:hAnsi="Arial" w:cs="Arial"/>
                <w:bCs/>
                <w:iCs/>
                <w:sz w:val="22"/>
                <w:szCs w:val="22"/>
              </w:rPr>
            </w:pPr>
            <w:r w:rsidRPr="00A45523">
              <w:rPr>
                <w:rFonts w:ascii="Arial" w:hAnsi="Arial" w:cs="Arial"/>
                <w:bCs/>
                <w:iCs/>
                <w:sz w:val="22"/>
                <w:szCs w:val="22"/>
              </w:rPr>
              <w:t>Adjuster:</w:t>
            </w:r>
          </w:p>
        </w:tc>
        <w:tc>
          <w:tcPr>
            <w:tcW w:w="4675" w:type="dxa"/>
          </w:tcPr>
          <w:p w14:paraId="086794C7" w14:textId="77777777" w:rsidR="00982C8A" w:rsidRPr="00A45523" w:rsidRDefault="00982C8A" w:rsidP="00DE599E">
            <w:pPr>
              <w:rPr>
                <w:rFonts w:ascii="Arial" w:hAnsi="Arial" w:cs="Arial"/>
                <w:bCs/>
                <w:iCs/>
                <w:sz w:val="22"/>
                <w:szCs w:val="22"/>
              </w:rPr>
            </w:pPr>
            <w:r w:rsidRPr="00A45523">
              <w:rPr>
                <w:rFonts w:ascii="Arial" w:hAnsi="Arial" w:cs="Arial"/>
                <w:bCs/>
                <w:iCs/>
                <w:sz w:val="22"/>
                <w:szCs w:val="22"/>
              </w:rPr>
              <w:t>Phone:</w:t>
            </w:r>
          </w:p>
          <w:p w14:paraId="1D670FF2" w14:textId="5A8F787E" w:rsidR="00982C8A" w:rsidRPr="00A45523" w:rsidRDefault="00982C8A" w:rsidP="00DE599E">
            <w:pPr>
              <w:rPr>
                <w:rFonts w:ascii="Arial" w:hAnsi="Arial" w:cs="Arial"/>
                <w:bCs/>
                <w:iCs/>
                <w:sz w:val="22"/>
                <w:szCs w:val="22"/>
              </w:rPr>
            </w:pPr>
            <w:r w:rsidRPr="00A45523">
              <w:rPr>
                <w:rFonts w:ascii="Arial" w:hAnsi="Arial" w:cs="Arial"/>
                <w:bCs/>
                <w:iCs/>
                <w:sz w:val="22"/>
                <w:szCs w:val="22"/>
              </w:rPr>
              <w:t>Email:</w:t>
            </w:r>
          </w:p>
        </w:tc>
      </w:tr>
      <w:tr w:rsidR="00982C8A" w:rsidRPr="00A45523" w14:paraId="2C475F66" w14:textId="77777777" w:rsidTr="00DE599E">
        <w:tc>
          <w:tcPr>
            <w:tcW w:w="4675" w:type="dxa"/>
          </w:tcPr>
          <w:p w14:paraId="23D87495" w14:textId="568F4977" w:rsidR="00982C8A" w:rsidRPr="00A45523" w:rsidRDefault="00982C8A" w:rsidP="00DE599E">
            <w:pPr>
              <w:rPr>
                <w:rFonts w:ascii="Arial" w:hAnsi="Arial" w:cs="Arial"/>
                <w:bCs/>
                <w:iCs/>
                <w:sz w:val="22"/>
                <w:szCs w:val="22"/>
              </w:rPr>
            </w:pPr>
            <w:r w:rsidRPr="00A45523">
              <w:rPr>
                <w:rFonts w:ascii="Arial" w:hAnsi="Arial" w:cs="Arial"/>
                <w:bCs/>
                <w:iCs/>
                <w:sz w:val="22"/>
                <w:szCs w:val="22"/>
              </w:rPr>
              <w:t>Attorney for Insurer:</w:t>
            </w:r>
          </w:p>
        </w:tc>
        <w:tc>
          <w:tcPr>
            <w:tcW w:w="4675" w:type="dxa"/>
          </w:tcPr>
          <w:p w14:paraId="71CD4045" w14:textId="77777777" w:rsidR="00982C8A" w:rsidRPr="00A45523" w:rsidRDefault="00982C8A" w:rsidP="00DE599E">
            <w:pPr>
              <w:rPr>
                <w:rFonts w:ascii="Arial" w:hAnsi="Arial" w:cs="Arial"/>
                <w:bCs/>
                <w:iCs/>
                <w:sz w:val="22"/>
                <w:szCs w:val="22"/>
              </w:rPr>
            </w:pPr>
            <w:r w:rsidRPr="00A45523">
              <w:rPr>
                <w:rFonts w:ascii="Arial" w:hAnsi="Arial" w:cs="Arial"/>
                <w:bCs/>
                <w:iCs/>
                <w:sz w:val="22"/>
                <w:szCs w:val="22"/>
              </w:rPr>
              <w:t>Phone:</w:t>
            </w:r>
          </w:p>
          <w:p w14:paraId="41FD44DB" w14:textId="2423B3A8" w:rsidR="00982C8A" w:rsidRPr="00A45523" w:rsidRDefault="00982C8A" w:rsidP="00DE599E">
            <w:pPr>
              <w:rPr>
                <w:rFonts w:ascii="Arial" w:hAnsi="Arial" w:cs="Arial"/>
                <w:bCs/>
                <w:iCs/>
                <w:sz w:val="22"/>
                <w:szCs w:val="22"/>
              </w:rPr>
            </w:pPr>
            <w:r w:rsidRPr="00A45523">
              <w:rPr>
                <w:rFonts w:ascii="Arial" w:hAnsi="Arial" w:cs="Arial"/>
                <w:bCs/>
                <w:iCs/>
                <w:sz w:val="22"/>
                <w:szCs w:val="22"/>
              </w:rPr>
              <w:t>Email:</w:t>
            </w:r>
          </w:p>
        </w:tc>
      </w:tr>
      <w:tr w:rsidR="00982C8A" w:rsidRPr="00A45523" w14:paraId="17011D32" w14:textId="77777777" w:rsidTr="00DE599E">
        <w:tc>
          <w:tcPr>
            <w:tcW w:w="4675" w:type="dxa"/>
          </w:tcPr>
          <w:p w14:paraId="23C58D06" w14:textId="3780F472" w:rsidR="00982C8A" w:rsidRPr="00A45523" w:rsidRDefault="00982C8A" w:rsidP="00DE599E">
            <w:pPr>
              <w:rPr>
                <w:rFonts w:ascii="Arial" w:hAnsi="Arial" w:cs="Arial"/>
                <w:bCs/>
                <w:iCs/>
                <w:sz w:val="22"/>
                <w:szCs w:val="22"/>
              </w:rPr>
            </w:pPr>
            <w:r w:rsidRPr="00A45523">
              <w:rPr>
                <w:rFonts w:ascii="Arial" w:hAnsi="Arial" w:cs="Arial"/>
                <w:bCs/>
                <w:iCs/>
                <w:sz w:val="22"/>
                <w:szCs w:val="22"/>
              </w:rPr>
              <w:t>Client:</w:t>
            </w:r>
          </w:p>
        </w:tc>
        <w:tc>
          <w:tcPr>
            <w:tcW w:w="4675" w:type="dxa"/>
          </w:tcPr>
          <w:p w14:paraId="6918264E" w14:textId="77777777" w:rsidR="00982C8A" w:rsidRPr="00A45523" w:rsidRDefault="00982C8A" w:rsidP="00DE599E">
            <w:pPr>
              <w:rPr>
                <w:rFonts w:ascii="Arial" w:hAnsi="Arial" w:cs="Arial"/>
                <w:bCs/>
                <w:iCs/>
                <w:sz w:val="22"/>
                <w:szCs w:val="22"/>
              </w:rPr>
            </w:pPr>
            <w:r w:rsidRPr="00A45523">
              <w:rPr>
                <w:rFonts w:ascii="Arial" w:hAnsi="Arial" w:cs="Arial"/>
                <w:bCs/>
                <w:iCs/>
                <w:sz w:val="22"/>
                <w:szCs w:val="22"/>
              </w:rPr>
              <w:t>Phone:</w:t>
            </w:r>
          </w:p>
          <w:p w14:paraId="6CBFD952" w14:textId="734E2D01" w:rsidR="00982C8A" w:rsidRPr="00A45523" w:rsidRDefault="00982C8A" w:rsidP="00DE599E">
            <w:pPr>
              <w:rPr>
                <w:rFonts w:ascii="Arial" w:hAnsi="Arial" w:cs="Arial"/>
                <w:bCs/>
                <w:iCs/>
                <w:sz w:val="22"/>
                <w:szCs w:val="22"/>
              </w:rPr>
            </w:pPr>
            <w:r w:rsidRPr="00A45523">
              <w:rPr>
                <w:rFonts w:ascii="Arial" w:hAnsi="Arial" w:cs="Arial"/>
                <w:bCs/>
                <w:iCs/>
                <w:sz w:val="22"/>
                <w:szCs w:val="22"/>
              </w:rPr>
              <w:t>Email:</w:t>
            </w:r>
          </w:p>
        </w:tc>
      </w:tr>
      <w:tr w:rsidR="00982C8A" w:rsidRPr="00A45523" w14:paraId="1CB2277F" w14:textId="77777777" w:rsidTr="00DE599E">
        <w:tc>
          <w:tcPr>
            <w:tcW w:w="4675" w:type="dxa"/>
          </w:tcPr>
          <w:p w14:paraId="64281DEF" w14:textId="10F88C2F" w:rsidR="00982C8A" w:rsidRPr="00A45523" w:rsidRDefault="00982C8A" w:rsidP="00DE599E">
            <w:pPr>
              <w:rPr>
                <w:rFonts w:ascii="Arial" w:hAnsi="Arial" w:cs="Arial"/>
                <w:bCs/>
                <w:iCs/>
                <w:sz w:val="22"/>
                <w:szCs w:val="22"/>
              </w:rPr>
            </w:pPr>
            <w:r w:rsidRPr="00A45523">
              <w:rPr>
                <w:rFonts w:ascii="Arial" w:hAnsi="Arial" w:cs="Arial"/>
                <w:bCs/>
                <w:iCs/>
                <w:sz w:val="22"/>
                <w:szCs w:val="22"/>
              </w:rPr>
              <w:t>Witness:</w:t>
            </w:r>
          </w:p>
        </w:tc>
        <w:tc>
          <w:tcPr>
            <w:tcW w:w="4675" w:type="dxa"/>
          </w:tcPr>
          <w:p w14:paraId="08573E99" w14:textId="77777777" w:rsidR="00982C8A" w:rsidRPr="00A45523" w:rsidRDefault="00982C8A" w:rsidP="00DE599E">
            <w:pPr>
              <w:rPr>
                <w:rFonts w:ascii="Arial" w:hAnsi="Arial" w:cs="Arial"/>
                <w:bCs/>
                <w:iCs/>
                <w:sz w:val="22"/>
                <w:szCs w:val="22"/>
              </w:rPr>
            </w:pPr>
            <w:r w:rsidRPr="00A45523">
              <w:rPr>
                <w:rFonts w:ascii="Arial" w:hAnsi="Arial" w:cs="Arial"/>
                <w:bCs/>
                <w:iCs/>
                <w:sz w:val="22"/>
                <w:szCs w:val="22"/>
              </w:rPr>
              <w:t>Phone:</w:t>
            </w:r>
          </w:p>
          <w:p w14:paraId="72114C89" w14:textId="418252E3" w:rsidR="00982C8A" w:rsidRPr="00A45523" w:rsidRDefault="00982C8A" w:rsidP="00DE599E">
            <w:pPr>
              <w:rPr>
                <w:rFonts w:ascii="Arial" w:hAnsi="Arial" w:cs="Arial"/>
                <w:bCs/>
                <w:iCs/>
                <w:sz w:val="22"/>
                <w:szCs w:val="22"/>
              </w:rPr>
            </w:pPr>
            <w:r w:rsidRPr="00A45523">
              <w:rPr>
                <w:rFonts w:ascii="Arial" w:hAnsi="Arial" w:cs="Arial"/>
                <w:bCs/>
                <w:iCs/>
                <w:sz w:val="22"/>
                <w:szCs w:val="22"/>
              </w:rPr>
              <w:t>Email:</w:t>
            </w:r>
          </w:p>
        </w:tc>
      </w:tr>
      <w:tr w:rsidR="00982C8A" w:rsidRPr="00A45523" w14:paraId="17899E7D" w14:textId="77777777" w:rsidTr="00DE599E">
        <w:tc>
          <w:tcPr>
            <w:tcW w:w="4675" w:type="dxa"/>
          </w:tcPr>
          <w:p w14:paraId="226185CA" w14:textId="7F09F883" w:rsidR="00982C8A" w:rsidRPr="00A45523" w:rsidRDefault="00982C8A" w:rsidP="00DE599E">
            <w:pPr>
              <w:rPr>
                <w:rFonts w:ascii="Arial" w:hAnsi="Arial" w:cs="Arial"/>
                <w:bCs/>
                <w:iCs/>
                <w:sz w:val="22"/>
                <w:szCs w:val="22"/>
              </w:rPr>
            </w:pPr>
            <w:r w:rsidRPr="00A45523">
              <w:rPr>
                <w:rFonts w:ascii="Arial" w:hAnsi="Arial" w:cs="Arial"/>
                <w:bCs/>
                <w:iCs/>
                <w:sz w:val="22"/>
                <w:szCs w:val="22"/>
              </w:rPr>
              <w:t>Date of Incident: May 27, 2021</w:t>
            </w:r>
          </w:p>
        </w:tc>
        <w:tc>
          <w:tcPr>
            <w:tcW w:w="4675" w:type="dxa"/>
          </w:tcPr>
          <w:p w14:paraId="125665BC" w14:textId="54DE3685" w:rsidR="00982C8A" w:rsidRPr="00A45523" w:rsidRDefault="00982C8A" w:rsidP="00DE599E">
            <w:pPr>
              <w:rPr>
                <w:rFonts w:ascii="Arial" w:hAnsi="Arial" w:cs="Arial"/>
                <w:bCs/>
                <w:iCs/>
                <w:sz w:val="22"/>
                <w:szCs w:val="22"/>
              </w:rPr>
            </w:pPr>
            <w:r w:rsidRPr="00A45523">
              <w:rPr>
                <w:rFonts w:ascii="Arial" w:hAnsi="Arial" w:cs="Arial"/>
                <w:bCs/>
                <w:iCs/>
                <w:sz w:val="22"/>
                <w:szCs w:val="22"/>
              </w:rPr>
              <w:t>Claims: Negligence</w:t>
            </w:r>
          </w:p>
        </w:tc>
      </w:tr>
      <w:tr w:rsidR="00982C8A" w:rsidRPr="00A45523" w14:paraId="07EADA9E" w14:textId="77777777" w:rsidTr="00DE599E">
        <w:tc>
          <w:tcPr>
            <w:tcW w:w="4675" w:type="dxa"/>
          </w:tcPr>
          <w:p w14:paraId="77849E2E" w14:textId="2A2FE76B" w:rsidR="00982C8A" w:rsidRPr="00A45523" w:rsidRDefault="00982C8A" w:rsidP="00DE599E">
            <w:pPr>
              <w:rPr>
                <w:rFonts w:ascii="Arial" w:hAnsi="Arial" w:cs="Arial"/>
                <w:bCs/>
                <w:iCs/>
                <w:sz w:val="22"/>
                <w:szCs w:val="22"/>
              </w:rPr>
            </w:pPr>
            <w:r w:rsidRPr="00A45523">
              <w:rPr>
                <w:rFonts w:ascii="Arial" w:hAnsi="Arial" w:cs="Arial"/>
                <w:bCs/>
                <w:iCs/>
                <w:sz w:val="22"/>
                <w:szCs w:val="22"/>
              </w:rPr>
              <w:t>Date of Filing: June 21, 2022</w:t>
            </w:r>
          </w:p>
        </w:tc>
        <w:tc>
          <w:tcPr>
            <w:tcW w:w="4675" w:type="dxa"/>
          </w:tcPr>
          <w:p w14:paraId="35B550D5" w14:textId="7F0D2356" w:rsidR="00982C8A" w:rsidRPr="00A45523" w:rsidRDefault="00982C8A" w:rsidP="00DE599E">
            <w:pPr>
              <w:rPr>
                <w:rFonts w:ascii="Arial" w:hAnsi="Arial" w:cs="Arial"/>
                <w:bCs/>
                <w:iCs/>
                <w:sz w:val="22"/>
                <w:szCs w:val="22"/>
              </w:rPr>
            </w:pPr>
            <w:r w:rsidRPr="00A45523">
              <w:rPr>
                <w:rFonts w:ascii="Arial" w:hAnsi="Arial" w:cs="Arial"/>
                <w:bCs/>
                <w:iCs/>
                <w:sz w:val="22"/>
                <w:szCs w:val="22"/>
              </w:rPr>
              <w:t xml:space="preserve">Injuries: </w:t>
            </w:r>
            <w:r w:rsidRPr="00A45523">
              <w:rPr>
                <w:rFonts w:ascii="Arial" w:hAnsi="Arial" w:cs="Arial"/>
                <w:sz w:val="22"/>
                <w:szCs w:val="22"/>
              </w:rPr>
              <w:t xml:space="preserve">Left arm and shoulder injury; cervical and lumbar strain; headaches, </w:t>
            </w:r>
            <w:r w:rsidRPr="00A45523">
              <w:rPr>
                <w:rFonts w:ascii="Arial" w:hAnsi="Arial" w:cs="Arial"/>
                <w:b/>
                <w:sz w:val="22"/>
                <w:szCs w:val="22"/>
              </w:rPr>
              <w:t>TMJ</w:t>
            </w:r>
            <w:r w:rsidRPr="00A45523">
              <w:rPr>
                <w:rFonts w:ascii="Arial" w:hAnsi="Arial" w:cs="Arial"/>
                <w:sz w:val="22"/>
                <w:szCs w:val="22"/>
              </w:rPr>
              <w:t xml:space="preserve">, injury to right foot with plantar fascitis – injuries </w:t>
            </w:r>
            <w:r w:rsidRPr="00A45523">
              <w:rPr>
                <w:rFonts w:ascii="Arial" w:hAnsi="Arial" w:cs="Arial"/>
                <w:b/>
                <w:sz w:val="22"/>
                <w:szCs w:val="22"/>
              </w:rPr>
              <w:t>“superimposed upon previous spinal and head trauma and pre existing spinal arthritis, causing pre existing condition to become symptomatic”</w:t>
            </w:r>
          </w:p>
        </w:tc>
      </w:tr>
      <w:tr w:rsidR="00573220" w:rsidRPr="00A45523" w14:paraId="49710B44" w14:textId="77777777" w:rsidTr="00DE599E">
        <w:tc>
          <w:tcPr>
            <w:tcW w:w="4675" w:type="dxa"/>
          </w:tcPr>
          <w:p w14:paraId="6C2422B1" w14:textId="00E3AD09" w:rsidR="00573220" w:rsidRPr="00A45523" w:rsidRDefault="00573220" w:rsidP="00DE599E">
            <w:pPr>
              <w:rPr>
                <w:rFonts w:ascii="Arial" w:hAnsi="Arial" w:cs="Arial"/>
                <w:bCs/>
                <w:iCs/>
                <w:sz w:val="22"/>
                <w:szCs w:val="22"/>
              </w:rPr>
            </w:pPr>
            <w:r w:rsidRPr="00A45523">
              <w:rPr>
                <w:rFonts w:ascii="Arial" w:hAnsi="Arial" w:cs="Arial"/>
                <w:bCs/>
                <w:iCs/>
                <w:sz w:val="22"/>
                <w:szCs w:val="22"/>
              </w:rPr>
              <w:t>Date of Service: N/A- UIM</w:t>
            </w:r>
          </w:p>
        </w:tc>
        <w:tc>
          <w:tcPr>
            <w:tcW w:w="4675" w:type="dxa"/>
          </w:tcPr>
          <w:p w14:paraId="4153DDCE" w14:textId="569E2DA2" w:rsidR="00573220" w:rsidRPr="00A45523" w:rsidRDefault="00573220" w:rsidP="00DE599E">
            <w:pPr>
              <w:rPr>
                <w:rFonts w:ascii="Arial" w:hAnsi="Arial" w:cs="Arial"/>
                <w:bCs/>
                <w:iCs/>
                <w:sz w:val="22"/>
                <w:szCs w:val="22"/>
              </w:rPr>
            </w:pPr>
            <w:r w:rsidRPr="00A45523">
              <w:rPr>
                <w:rFonts w:ascii="Arial" w:hAnsi="Arial" w:cs="Arial"/>
                <w:bCs/>
                <w:iCs/>
                <w:sz w:val="22"/>
                <w:szCs w:val="22"/>
              </w:rPr>
              <w:t xml:space="preserve">Damages: </w:t>
            </w:r>
            <w:r w:rsidRPr="00A45523">
              <w:rPr>
                <w:rFonts w:ascii="Arial" w:hAnsi="Arial" w:cs="Arial"/>
                <w:sz w:val="22"/>
                <w:szCs w:val="22"/>
              </w:rPr>
              <w:t>Non-economic: $150,000; Meds: $17,000; Lost wages (self employment): $3,500.00</w:t>
            </w:r>
          </w:p>
        </w:tc>
      </w:tr>
      <w:tr w:rsidR="004328B4" w:rsidRPr="00A45523" w14:paraId="656D0494" w14:textId="77777777" w:rsidTr="00F90D71">
        <w:tc>
          <w:tcPr>
            <w:tcW w:w="9350" w:type="dxa"/>
            <w:gridSpan w:val="2"/>
          </w:tcPr>
          <w:p w14:paraId="05B3FFE7" w14:textId="5D9362A5" w:rsidR="004328B4" w:rsidRPr="00A45523" w:rsidRDefault="004328B4" w:rsidP="00DE599E">
            <w:pPr>
              <w:rPr>
                <w:rFonts w:ascii="Arial" w:hAnsi="Arial" w:cs="Arial"/>
                <w:bCs/>
                <w:iCs/>
                <w:sz w:val="22"/>
                <w:szCs w:val="22"/>
              </w:rPr>
            </w:pPr>
            <w:r w:rsidRPr="00A45523">
              <w:rPr>
                <w:rFonts w:ascii="Arial" w:hAnsi="Arial" w:cs="Arial"/>
                <w:bCs/>
                <w:iCs/>
                <w:sz w:val="22"/>
                <w:szCs w:val="22"/>
              </w:rPr>
              <w:t xml:space="preserve">Facts: </w:t>
            </w:r>
            <w:r w:rsidRPr="00A45523">
              <w:rPr>
                <w:rFonts w:ascii="Arial" w:hAnsi="Arial" w:cs="Arial"/>
                <w:sz w:val="22"/>
                <w:szCs w:val="22"/>
              </w:rPr>
              <w:t>UIM claim – coverage 100/300; Plaintiff stopped behind vehicle in front of transit mall heading in southwesterly direction when D’s vehicle rear-ended plaintiff’s car.  Received $25,000 from Defendant’s liability carrier</w:t>
            </w:r>
          </w:p>
        </w:tc>
      </w:tr>
      <w:tr w:rsidR="004328B4" w:rsidRPr="00A45523" w14:paraId="4933B411" w14:textId="77777777" w:rsidTr="00987086">
        <w:tc>
          <w:tcPr>
            <w:tcW w:w="9350" w:type="dxa"/>
            <w:gridSpan w:val="2"/>
          </w:tcPr>
          <w:p w14:paraId="4BEFCA60" w14:textId="05AB719B" w:rsidR="004328B4" w:rsidRPr="00A45523" w:rsidRDefault="004328B4" w:rsidP="00DE599E">
            <w:pPr>
              <w:rPr>
                <w:rFonts w:ascii="Arial" w:hAnsi="Arial" w:cs="Arial"/>
                <w:bCs/>
                <w:iCs/>
                <w:sz w:val="22"/>
                <w:szCs w:val="22"/>
              </w:rPr>
            </w:pPr>
            <w:r w:rsidRPr="00A45523">
              <w:rPr>
                <w:rFonts w:ascii="Arial" w:hAnsi="Arial" w:cs="Arial"/>
                <w:bCs/>
                <w:iCs/>
                <w:sz w:val="22"/>
                <w:szCs w:val="22"/>
              </w:rPr>
              <w:t>Witnesses: None known- other than Defendant</w:t>
            </w:r>
          </w:p>
        </w:tc>
      </w:tr>
      <w:tr w:rsidR="004328B4" w:rsidRPr="00A45523" w14:paraId="01623973" w14:textId="77777777" w:rsidTr="004820F0">
        <w:tc>
          <w:tcPr>
            <w:tcW w:w="9350" w:type="dxa"/>
            <w:gridSpan w:val="2"/>
          </w:tcPr>
          <w:p w14:paraId="4B045CA0" w14:textId="422C4946" w:rsidR="004328B4" w:rsidRPr="00A45523" w:rsidRDefault="004328B4" w:rsidP="00DE599E">
            <w:pPr>
              <w:rPr>
                <w:rFonts w:ascii="Arial" w:hAnsi="Arial" w:cs="Arial"/>
                <w:bCs/>
                <w:iCs/>
                <w:sz w:val="22"/>
                <w:szCs w:val="22"/>
              </w:rPr>
            </w:pPr>
            <w:r w:rsidRPr="00A45523">
              <w:rPr>
                <w:rFonts w:ascii="Arial" w:hAnsi="Arial" w:cs="Arial"/>
                <w:bCs/>
                <w:iCs/>
                <w:sz w:val="22"/>
                <w:szCs w:val="22"/>
              </w:rPr>
              <w:t>Insurance Limits: $100/300- UIM claim</w:t>
            </w:r>
          </w:p>
        </w:tc>
      </w:tr>
      <w:tr w:rsidR="004328B4" w:rsidRPr="00A45523" w14:paraId="07BD0161" w14:textId="77777777" w:rsidTr="002B5E66">
        <w:tc>
          <w:tcPr>
            <w:tcW w:w="9350" w:type="dxa"/>
            <w:gridSpan w:val="2"/>
          </w:tcPr>
          <w:p w14:paraId="182CBF8B" w14:textId="305E1065" w:rsidR="004328B4" w:rsidRPr="00A45523" w:rsidRDefault="004328B4" w:rsidP="00DE599E">
            <w:pPr>
              <w:rPr>
                <w:rFonts w:ascii="Arial" w:hAnsi="Arial" w:cs="Arial"/>
                <w:bCs/>
                <w:iCs/>
                <w:sz w:val="22"/>
                <w:szCs w:val="22"/>
              </w:rPr>
            </w:pPr>
            <w:r w:rsidRPr="00A45523">
              <w:rPr>
                <w:rFonts w:ascii="Arial" w:hAnsi="Arial" w:cs="Arial"/>
                <w:bCs/>
                <w:iCs/>
                <w:sz w:val="22"/>
                <w:szCs w:val="22"/>
              </w:rPr>
              <w:t xml:space="preserve">Other side’s insurance?: </w:t>
            </w:r>
            <w:r w:rsidRPr="00A45523">
              <w:rPr>
                <w:rFonts w:ascii="Arial" w:hAnsi="Arial" w:cs="Arial"/>
                <w:sz w:val="22"/>
                <w:szCs w:val="22"/>
              </w:rPr>
              <w:t>Defendant:  America Home Assurance Company – Policy No. 8675-309.</w:t>
            </w:r>
          </w:p>
        </w:tc>
      </w:tr>
      <w:tr w:rsidR="004328B4" w:rsidRPr="00A45523" w14:paraId="4F0B8D6A" w14:textId="77777777" w:rsidTr="002B5E66">
        <w:tc>
          <w:tcPr>
            <w:tcW w:w="9350" w:type="dxa"/>
            <w:gridSpan w:val="2"/>
          </w:tcPr>
          <w:p w14:paraId="25231C90" w14:textId="153D74CB" w:rsidR="004328B4" w:rsidRPr="00A45523" w:rsidRDefault="004328B4" w:rsidP="00DE599E">
            <w:pPr>
              <w:rPr>
                <w:rFonts w:ascii="Arial" w:hAnsi="Arial" w:cs="Arial"/>
                <w:bCs/>
                <w:iCs/>
                <w:sz w:val="22"/>
                <w:szCs w:val="22"/>
              </w:rPr>
            </w:pPr>
            <w:r w:rsidRPr="00A45523">
              <w:rPr>
                <w:rFonts w:ascii="Arial" w:hAnsi="Arial" w:cs="Arial"/>
                <w:bCs/>
                <w:iCs/>
                <w:sz w:val="22"/>
                <w:szCs w:val="22"/>
              </w:rPr>
              <w:t>PIP Ledger: $11,351 (Medical expense sheet provided by Insurer’s atty: Medicals: $11,203.56)</w:t>
            </w:r>
          </w:p>
        </w:tc>
      </w:tr>
      <w:tr w:rsidR="004328B4" w:rsidRPr="00A45523" w14:paraId="66DB8B57" w14:textId="77777777" w:rsidTr="002B5E66">
        <w:tc>
          <w:tcPr>
            <w:tcW w:w="9350" w:type="dxa"/>
            <w:gridSpan w:val="2"/>
          </w:tcPr>
          <w:p w14:paraId="180FE3B6" w14:textId="77777777" w:rsidR="004328B4" w:rsidRPr="00A45523" w:rsidRDefault="004328B4" w:rsidP="00DE599E">
            <w:pPr>
              <w:rPr>
                <w:rFonts w:ascii="Arial" w:hAnsi="Arial" w:cs="Arial"/>
                <w:bCs/>
                <w:iCs/>
                <w:sz w:val="22"/>
                <w:szCs w:val="22"/>
              </w:rPr>
            </w:pPr>
            <w:r w:rsidRPr="00A45523">
              <w:rPr>
                <w:rFonts w:ascii="Arial" w:hAnsi="Arial" w:cs="Arial"/>
                <w:bCs/>
                <w:iCs/>
                <w:sz w:val="22"/>
                <w:szCs w:val="22"/>
              </w:rPr>
              <w:t xml:space="preserve">Settlement Negotiation: </w:t>
            </w:r>
          </w:p>
          <w:p w14:paraId="120EB635" w14:textId="77777777" w:rsidR="004328B4" w:rsidRPr="00A45523" w:rsidRDefault="004328B4" w:rsidP="004328B4">
            <w:pPr>
              <w:pStyle w:val="ListParagraph"/>
              <w:numPr>
                <w:ilvl w:val="0"/>
                <w:numId w:val="3"/>
              </w:numPr>
              <w:rPr>
                <w:rFonts w:ascii="Arial" w:hAnsi="Arial" w:cs="Arial"/>
                <w:bCs/>
                <w:iCs/>
                <w:sz w:val="22"/>
                <w:szCs w:val="22"/>
              </w:rPr>
            </w:pPr>
            <w:r w:rsidRPr="00A45523">
              <w:rPr>
                <w:rFonts w:ascii="Arial" w:hAnsi="Arial" w:cs="Arial"/>
                <w:bCs/>
                <w:iCs/>
                <w:sz w:val="22"/>
                <w:szCs w:val="22"/>
              </w:rPr>
              <w:t>Demand amount date:</w:t>
            </w:r>
          </w:p>
          <w:p w14:paraId="0596021B" w14:textId="7F150D10" w:rsidR="004328B4" w:rsidRPr="00A45523" w:rsidRDefault="004328B4" w:rsidP="004328B4">
            <w:pPr>
              <w:pStyle w:val="ListParagraph"/>
              <w:numPr>
                <w:ilvl w:val="0"/>
                <w:numId w:val="3"/>
              </w:numPr>
              <w:rPr>
                <w:rFonts w:ascii="Arial" w:hAnsi="Arial" w:cs="Arial"/>
                <w:bCs/>
                <w:iCs/>
                <w:sz w:val="22"/>
                <w:szCs w:val="22"/>
              </w:rPr>
            </w:pPr>
            <w:r w:rsidRPr="00A45523">
              <w:rPr>
                <w:rFonts w:ascii="Arial" w:hAnsi="Arial" w:cs="Arial"/>
                <w:bCs/>
                <w:iCs/>
                <w:sz w:val="22"/>
                <w:szCs w:val="22"/>
              </w:rPr>
              <w:t>Offer amount date:</w:t>
            </w:r>
          </w:p>
        </w:tc>
      </w:tr>
      <w:tr w:rsidR="004328B4" w:rsidRPr="00A45523" w14:paraId="65BFCB23" w14:textId="77777777" w:rsidTr="002B5E66">
        <w:tc>
          <w:tcPr>
            <w:tcW w:w="9350" w:type="dxa"/>
            <w:gridSpan w:val="2"/>
          </w:tcPr>
          <w:p w14:paraId="4D4BD7E8" w14:textId="0B35BA09" w:rsidR="004328B4" w:rsidRPr="00A45523" w:rsidRDefault="004328B4" w:rsidP="00DE599E">
            <w:pPr>
              <w:rPr>
                <w:rFonts w:ascii="Arial" w:hAnsi="Arial" w:cs="Arial"/>
                <w:bCs/>
                <w:iCs/>
                <w:sz w:val="22"/>
                <w:szCs w:val="22"/>
              </w:rPr>
            </w:pPr>
            <w:r w:rsidRPr="00A45523">
              <w:rPr>
                <w:rFonts w:ascii="Arial" w:hAnsi="Arial" w:cs="Arial"/>
                <w:bCs/>
                <w:iCs/>
                <w:sz w:val="22"/>
                <w:szCs w:val="22"/>
              </w:rPr>
              <w:t>Notes/To-Dos:</w:t>
            </w:r>
          </w:p>
          <w:p w14:paraId="272E9861" w14:textId="4198820D" w:rsidR="004328B4" w:rsidRPr="00A45523" w:rsidRDefault="004328B4" w:rsidP="00DE599E">
            <w:pPr>
              <w:rPr>
                <w:rFonts w:ascii="Arial" w:hAnsi="Arial" w:cs="Arial"/>
                <w:bCs/>
                <w:iCs/>
                <w:sz w:val="22"/>
                <w:szCs w:val="22"/>
              </w:rPr>
            </w:pPr>
          </w:p>
          <w:p w14:paraId="12C20B23" w14:textId="78E176E1" w:rsidR="004328B4" w:rsidRPr="00A45523" w:rsidRDefault="004328B4" w:rsidP="004328B4">
            <w:pPr>
              <w:pStyle w:val="ListParagraph"/>
              <w:numPr>
                <w:ilvl w:val="0"/>
                <w:numId w:val="6"/>
              </w:numPr>
              <w:rPr>
                <w:rFonts w:ascii="Arial" w:hAnsi="Arial" w:cs="Arial"/>
                <w:bCs/>
                <w:iCs/>
                <w:sz w:val="22"/>
                <w:szCs w:val="22"/>
              </w:rPr>
            </w:pPr>
            <w:r w:rsidRPr="00A45523">
              <w:rPr>
                <w:rFonts w:ascii="Arial" w:hAnsi="Arial" w:cs="Arial"/>
                <w:bCs/>
                <w:iCs/>
                <w:sz w:val="22"/>
                <w:szCs w:val="22"/>
              </w:rPr>
              <w:t>IME- Set for 10/25/22 with Jones</w:t>
            </w:r>
          </w:p>
          <w:p w14:paraId="7C9A9FFA" w14:textId="24604049" w:rsidR="004328B4" w:rsidRPr="00A45523" w:rsidRDefault="004328B4" w:rsidP="004328B4">
            <w:pPr>
              <w:pStyle w:val="ListParagraph"/>
              <w:numPr>
                <w:ilvl w:val="0"/>
                <w:numId w:val="6"/>
              </w:numPr>
              <w:rPr>
                <w:rFonts w:ascii="Arial" w:hAnsi="Arial" w:cs="Arial"/>
                <w:bCs/>
                <w:iCs/>
                <w:sz w:val="22"/>
                <w:szCs w:val="22"/>
              </w:rPr>
            </w:pPr>
            <w:r w:rsidRPr="00A45523">
              <w:rPr>
                <w:rFonts w:ascii="Arial" w:hAnsi="Arial" w:cs="Arial"/>
                <w:bCs/>
                <w:iCs/>
                <w:sz w:val="22"/>
                <w:szCs w:val="22"/>
              </w:rPr>
              <w:t>UIM arb will be scheduled or case settled</w:t>
            </w:r>
          </w:p>
          <w:p w14:paraId="1B8EF54E" w14:textId="69698672" w:rsidR="004328B4" w:rsidRPr="00A45523" w:rsidRDefault="004328B4" w:rsidP="004328B4">
            <w:pPr>
              <w:pStyle w:val="ListParagraph"/>
              <w:numPr>
                <w:ilvl w:val="0"/>
                <w:numId w:val="6"/>
              </w:numPr>
              <w:rPr>
                <w:rFonts w:ascii="Arial" w:hAnsi="Arial" w:cs="Arial"/>
                <w:bCs/>
                <w:iCs/>
                <w:sz w:val="22"/>
                <w:szCs w:val="22"/>
              </w:rPr>
            </w:pPr>
            <w:r w:rsidRPr="00A45523">
              <w:rPr>
                <w:rFonts w:ascii="Arial" w:hAnsi="Arial" w:cs="Arial"/>
                <w:bCs/>
                <w:iCs/>
                <w:sz w:val="22"/>
                <w:szCs w:val="22"/>
              </w:rPr>
              <w:t>RFP out on 7/19/22</w:t>
            </w:r>
          </w:p>
          <w:p w14:paraId="1057B4EF" w14:textId="1D8F8834" w:rsidR="004328B4" w:rsidRPr="00A45523" w:rsidRDefault="004328B4" w:rsidP="004328B4">
            <w:pPr>
              <w:pStyle w:val="ListParagraph"/>
              <w:numPr>
                <w:ilvl w:val="0"/>
                <w:numId w:val="6"/>
              </w:numPr>
              <w:rPr>
                <w:rFonts w:ascii="Arial" w:hAnsi="Arial" w:cs="Arial"/>
                <w:bCs/>
                <w:iCs/>
                <w:sz w:val="22"/>
                <w:szCs w:val="22"/>
              </w:rPr>
            </w:pPr>
            <w:r w:rsidRPr="00A45523">
              <w:rPr>
                <w:rFonts w:ascii="Arial" w:hAnsi="Arial" w:cs="Arial"/>
                <w:bCs/>
                <w:iCs/>
                <w:sz w:val="22"/>
                <w:szCs w:val="22"/>
              </w:rPr>
              <w:t>Property damage to vehicle: $10,845.56</w:t>
            </w:r>
          </w:p>
          <w:p w14:paraId="3A4AE1A8" w14:textId="5E1EB211" w:rsidR="004328B4" w:rsidRPr="00A45523" w:rsidRDefault="004328B4" w:rsidP="004328B4">
            <w:pPr>
              <w:pStyle w:val="ListParagraph"/>
              <w:numPr>
                <w:ilvl w:val="0"/>
                <w:numId w:val="6"/>
              </w:numPr>
              <w:rPr>
                <w:rFonts w:ascii="Arial" w:hAnsi="Arial" w:cs="Arial"/>
                <w:bCs/>
                <w:iCs/>
                <w:sz w:val="22"/>
                <w:szCs w:val="22"/>
              </w:rPr>
            </w:pPr>
            <w:r w:rsidRPr="00A45523">
              <w:rPr>
                <w:rFonts w:ascii="Arial" w:hAnsi="Arial" w:cs="Arial"/>
                <w:bCs/>
                <w:iCs/>
                <w:sz w:val="22"/>
                <w:szCs w:val="22"/>
              </w:rPr>
              <w:t>Wage loss- Claimant self employed (claiming $3,500)</w:t>
            </w:r>
          </w:p>
        </w:tc>
      </w:tr>
    </w:tbl>
    <w:p w14:paraId="4C2DD94B" w14:textId="77777777" w:rsidR="00DE599E" w:rsidRPr="00A45523" w:rsidRDefault="00DE599E" w:rsidP="00DE599E">
      <w:pPr>
        <w:rPr>
          <w:rFonts w:ascii="Arial" w:hAnsi="Arial" w:cs="Arial"/>
          <w:bCs/>
          <w:iCs/>
          <w:sz w:val="22"/>
          <w:szCs w:val="22"/>
        </w:rPr>
      </w:pPr>
    </w:p>
    <w:p w14:paraId="17F633ED" w14:textId="77777777" w:rsidR="002734EF" w:rsidRPr="00A45523" w:rsidRDefault="002734EF" w:rsidP="00DE599E">
      <w:pPr>
        <w:rPr>
          <w:rFonts w:ascii="Arial" w:hAnsi="Arial" w:cs="Arial"/>
          <w:bCs/>
          <w:iCs/>
          <w:sz w:val="22"/>
          <w:szCs w:val="22"/>
        </w:rPr>
      </w:pPr>
    </w:p>
    <w:tbl>
      <w:tblPr>
        <w:tblW w:w="9648" w:type="dxa"/>
        <w:tblLayout w:type="fixed"/>
        <w:tblLook w:val="00A0" w:firstRow="1" w:lastRow="0" w:firstColumn="1" w:lastColumn="0" w:noHBand="0" w:noVBand="0"/>
      </w:tblPr>
      <w:tblGrid>
        <w:gridCol w:w="961"/>
        <w:gridCol w:w="8687"/>
      </w:tblGrid>
      <w:tr w:rsidR="002734EF" w:rsidRPr="00A45523" w14:paraId="4F353065" w14:textId="77777777" w:rsidTr="000A22B2">
        <w:tc>
          <w:tcPr>
            <w:tcW w:w="961" w:type="dxa"/>
          </w:tcPr>
          <w:p w14:paraId="327B8529" w14:textId="77777777" w:rsidR="002734EF" w:rsidRPr="00A45523" w:rsidRDefault="002734EF" w:rsidP="00436FF8">
            <w:pPr>
              <w:widowControl/>
              <w:autoSpaceDE/>
              <w:autoSpaceDN/>
              <w:adjustRightInd/>
              <w:rPr>
                <w:rFonts w:ascii="Arial" w:hAnsi="Arial" w:cs="Arial"/>
                <w:bCs/>
                <w:iCs/>
                <w:sz w:val="22"/>
                <w:szCs w:val="22"/>
              </w:rPr>
            </w:pPr>
          </w:p>
        </w:tc>
        <w:tc>
          <w:tcPr>
            <w:tcW w:w="8687" w:type="dxa"/>
          </w:tcPr>
          <w:p w14:paraId="47B03D87" w14:textId="77777777" w:rsidR="002734EF" w:rsidRPr="00A45523" w:rsidRDefault="002734EF" w:rsidP="00DE599E">
            <w:pPr>
              <w:rPr>
                <w:rFonts w:ascii="Arial" w:hAnsi="Arial" w:cs="Arial"/>
                <w:bCs/>
                <w:iCs/>
                <w:sz w:val="22"/>
                <w:szCs w:val="22"/>
              </w:rPr>
            </w:pPr>
          </w:p>
        </w:tc>
      </w:tr>
    </w:tbl>
    <w:p w14:paraId="468E700D" w14:textId="77777777" w:rsidR="002734EF" w:rsidRPr="00A45523" w:rsidRDefault="002734EF" w:rsidP="00DE599E">
      <w:pPr>
        <w:rPr>
          <w:rFonts w:ascii="Arial" w:hAnsi="Arial" w:cs="Arial"/>
          <w:bCs/>
          <w:iCs/>
          <w:sz w:val="22"/>
          <w:szCs w:val="22"/>
        </w:rPr>
      </w:pPr>
    </w:p>
    <w:p w14:paraId="1460DC08" w14:textId="77777777" w:rsidR="007C4BC6" w:rsidRPr="00A45523" w:rsidRDefault="007C4BC6" w:rsidP="00DE599E">
      <w:pPr>
        <w:widowControl/>
        <w:rPr>
          <w:rFonts w:ascii="Arial" w:hAnsi="Arial" w:cs="Arial"/>
          <w:bCs/>
          <w:iCs/>
          <w:sz w:val="22"/>
          <w:szCs w:val="22"/>
        </w:rPr>
      </w:pPr>
    </w:p>
    <w:p w14:paraId="62E5E629" w14:textId="77777777" w:rsidR="007C4BC6" w:rsidRPr="00A45523" w:rsidRDefault="007C4BC6" w:rsidP="00DE599E">
      <w:pPr>
        <w:jc w:val="center"/>
        <w:rPr>
          <w:rFonts w:ascii="Arial" w:hAnsi="Arial" w:cs="Arial"/>
          <w:b/>
          <w:iCs/>
          <w:sz w:val="22"/>
          <w:szCs w:val="22"/>
        </w:rPr>
      </w:pPr>
      <w:r w:rsidRPr="00A45523">
        <w:rPr>
          <w:rFonts w:ascii="Arial" w:hAnsi="Arial" w:cs="Arial"/>
          <w:b/>
          <w:iCs/>
          <w:sz w:val="22"/>
          <w:szCs w:val="22"/>
        </w:rPr>
        <w:lastRenderedPageBreak/>
        <w:t>IMPORTANT NOTICES</w:t>
      </w:r>
    </w:p>
    <w:p w14:paraId="28BBA922" w14:textId="77777777" w:rsidR="007C4BC6" w:rsidRPr="00A45523" w:rsidRDefault="007C4BC6" w:rsidP="00DE599E">
      <w:pPr>
        <w:rPr>
          <w:rFonts w:ascii="Arial" w:hAnsi="Arial" w:cs="Arial"/>
          <w:bCs/>
          <w:iCs/>
          <w:sz w:val="22"/>
          <w:szCs w:val="22"/>
        </w:rPr>
      </w:pPr>
    </w:p>
    <w:p w14:paraId="367F9D0C" w14:textId="0DA19679" w:rsidR="007C4BC6" w:rsidRPr="00A45523" w:rsidRDefault="007C4BC6" w:rsidP="00003A22">
      <w:pPr>
        <w:jc w:val="both"/>
        <w:rPr>
          <w:rFonts w:ascii="Arial" w:hAnsi="Arial" w:cs="Arial"/>
          <w:bCs/>
          <w:iCs/>
          <w:sz w:val="22"/>
          <w:szCs w:val="22"/>
        </w:rPr>
      </w:pPr>
      <w:r w:rsidRPr="00A45523">
        <w:rPr>
          <w:rFonts w:ascii="Arial" w:hAnsi="Arial" w:cs="Arial"/>
          <w:bCs/>
          <w:iCs/>
          <w:sz w:val="22"/>
          <w:szCs w:val="22"/>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use in</w:t>
      </w:r>
      <w:r w:rsidR="00A670CB" w:rsidRPr="00A45523">
        <w:rPr>
          <w:rFonts w:ascii="Arial" w:hAnsi="Arial" w:cs="Arial"/>
          <w:bCs/>
          <w:iCs/>
          <w:sz w:val="22"/>
          <w:szCs w:val="22"/>
        </w:rPr>
        <w:t xml:space="preserve"> </w:t>
      </w:r>
      <w:r w:rsidR="00A90B1C" w:rsidRPr="00A45523">
        <w:rPr>
          <w:rFonts w:ascii="Arial" w:hAnsi="Arial" w:cs="Arial"/>
          <w:bCs/>
          <w:iCs/>
          <w:sz w:val="22"/>
          <w:szCs w:val="22"/>
        </w:rPr>
        <w:t>their own practices.  © 202</w:t>
      </w:r>
      <w:r w:rsidR="00B34997">
        <w:rPr>
          <w:rFonts w:ascii="Arial" w:hAnsi="Arial" w:cs="Arial"/>
          <w:bCs/>
          <w:iCs/>
          <w:sz w:val="22"/>
          <w:szCs w:val="22"/>
        </w:rPr>
        <w:t>5</w:t>
      </w:r>
      <w:r w:rsidRPr="00A45523">
        <w:rPr>
          <w:rFonts w:ascii="Arial" w:hAnsi="Arial" w:cs="Arial"/>
          <w:bCs/>
          <w:iCs/>
          <w:sz w:val="22"/>
          <w:szCs w:val="22"/>
        </w:rPr>
        <w:t xml:space="preserve"> OSB Professional Liability Fund</w:t>
      </w:r>
    </w:p>
    <w:sectPr w:rsidR="007C4BC6" w:rsidRPr="00A45523" w:rsidSect="007C4BC6">
      <w:headerReference w:type="default" r:id="rId7"/>
      <w:footerReference w:type="even" r:id="rId8"/>
      <w:footerReference w:type="default" r:id="rId9"/>
      <w:footerReference w:type="first" r:id="rId10"/>
      <w:type w:val="continuous"/>
      <w:pgSz w:w="12240" w:h="15840"/>
      <w:pgMar w:top="108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FC34" w14:textId="77777777" w:rsidR="00813ADC" w:rsidRDefault="00813ADC">
      <w:r>
        <w:separator/>
      </w:r>
    </w:p>
  </w:endnote>
  <w:endnote w:type="continuationSeparator" w:id="0">
    <w:p w14:paraId="343DF3A2" w14:textId="77777777" w:rsidR="00813ADC" w:rsidRDefault="0081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9B03" w14:textId="77777777" w:rsidR="00EA6EC6" w:rsidRDefault="00EA6EC6">
    <w:pPr>
      <w:pStyle w:val="DocID"/>
    </w:pPr>
    <w:bookmarkStart w:id="0" w:name="_iDocIDField84f14a28-2419-4506-9067-460f"/>
    <w:r>
      <w:rPr>
        <w:noProof/>
      </w:rPr>
      <w:t>DCAPDX\4142919.v1</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809B" w14:textId="77777777" w:rsidR="00EA6EC6" w:rsidRPr="00476A4A" w:rsidRDefault="00EA6EC6" w:rsidP="00CF1004"/>
  <w:p w14:paraId="3AC151C4" w14:textId="5E8FF77D" w:rsidR="00EA6EC6" w:rsidRPr="00FC3045" w:rsidRDefault="00EA6EC6" w:rsidP="00FC3045">
    <w:pPr>
      <w:pStyle w:val="Footer"/>
      <w:tabs>
        <w:tab w:val="left" w:pos="0"/>
        <w:tab w:val="left" w:pos="2880"/>
        <w:tab w:val="right" w:pos="9450"/>
      </w:tabs>
      <w:rPr>
        <w:rFonts w:ascii="Arial" w:hAnsi="Arial" w:cs="Arial"/>
        <w:sz w:val="16"/>
        <w:szCs w:val="16"/>
      </w:rPr>
    </w:pPr>
    <w:r w:rsidRPr="00FC3045">
      <w:rPr>
        <w:rFonts w:ascii="Arial" w:hAnsi="Arial" w:cs="Arial"/>
        <w:sz w:val="16"/>
        <w:szCs w:val="16"/>
      </w:rPr>
      <w:t xml:space="preserve">PROFESSIONAL LIABILITY FUND [Rev. </w:t>
    </w:r>
    <w:r w:rsidR="00B34997">
      <w:rPr>
        <w:rFonts w:ascii="Arial" w:hAnsi="Arial" w:cs="Arial"/>
        <w:sz w:val="16"/>
        <w:szCs w:val="16"/>
      </w:rPr>
      <w:t>1</w:t>
    </w:r>
    <w:r w:rsidR="00632CFC">
      <w:rPr>
        <w:rFonts w:ascii="Arial" w:hAnsi="Arial" w:cs="Arial"/>
        <w:sz w:val="16"/>
        <w:szCs w:val="16"/>
      </w:rPr>
      <w:t>1</w:t>
    </w:r>
    <w:r w:rsidR="00FC3045">
      <w:rPr>
        <w:rFonts w:ascii="Arial" w:hAnsi="Arial" w:cs="Arial"/>
        <w:sz w:val="16"/>
        <w:szCs w:val="16"/>
      </w:rPr>
      <w:t>/202</w:t>
    </w:r>
    <w:r w:rsidR="00B34997">
      <w:rPr>
        <w:rFonts w:ascii="Arial" w:hAnsi="Arial" w:cs="Arial"/>
        <w:sz w:val="16"/>
        <w:szCs w:val="16"/>
      </w:rPr>
      <w:t>5</w:t>
    </w:r>
    <w:r w:rsidRPr="00FC3045">
      <w:rPr>
        <w:rFonts w:ascii="Arial" w:hAnsi="Arial" w:cs="Arial"/>
        <w:sz w:val="16"/>
        <w:szCs w:val="16"/>
      </w:rPr>
      <w:t>]</w:t>
    </w:r>
    <w:r w:rsidRPr="00FC3045">
      <w:rPr>
        <w:rFonts w:ascii="Arial" w:hAnsi="Arial" w:cs="Arial"/>
        <w:sz w:val="16"/>
        <w:szCs w:val="16"/>
      </w:rPr>
      <w:tab/>
    </w:r>
    <w:r w:rsidR="004E2AC0">
      <w:rPr>
        <w:rFonts w:ascii="Arial" w:hAnsi="Arial" w:cs="Arial"/>
        <w:sz w:val="16"/>
        <w:szCs w:val="16"/>
      </w:rPr>
      <w:t>Plaintiff’s Key Information Sheet</w:t>
    </w:r>
    <w:r w:rsidRPr="00FC3045">
      <w:rPr>
        <w:rFonts w:ascii="Arial" w:hAnsi="Arial" w:cs="Arial"/>
        <w:sz w:val="16"/>
        <w:szCs w:val="16"/>
      </w:rPr>
      <w:t xml:space="preserve"> – Page </w:t>
    </w:r>
    <w:r w:rsidRPr="00FC3045">
      <w:rPr>
        <w:rFonts w:ascii="Arial" w:hAnsi="Arial" w:cs="Arial"/>
        <w:sz w:val="16"/>
        <w:szCs w:val="16"/>
      </w:rPr>
      <w:fldChar w:fldCharType="begin"/>
    </w:r>
    <w:r w:rsidRPr="00FC3045">
      <w:rPr>
        <w:rFonts w:ascii="Arial" w:hAnsi="Arial" w:cs="Arial"/>
        <w:sz w:val="16"/>
        <w:szCs w:val="16"/>
      </w:rPr>
      <w:instrText xml:space="preserve"> PAGE   \* MERGEFORMAT </w:instrText>
    </w:r>
    <w:r w:rsidRPr="00FC3045">
      <w:rPr>
        <w:rFonts w:ascii="Arial" w:hAnsi="Arial" w:cs="Arial"/>
        <w:sz w:val="16"/>
        <w:szCs w:val="16"/>
      </w:rPr>
      <w:fldChar w:fldCharType="separate"/>
    </w:r>
    <w:r w:rsidR="00A93520" w:rsidRPr="00FC3045">
      <w:rPr>
        <w:rFonts w:ascii="Arial" w:hAnsi="Arial" w:cs="Arial"/>
        <w:noProof/>
        <w:sz w:val="16"/>
        <w:szCs w:val="16"/>
      </w:rPr>
      <w:t>1</w:t>
    </w:r>
    <w:r w:rsidRPr="00FC3045">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DDFC" w14:textId="77777777" w:rsidR="00EA6EC6" w:rsidRDefault="00EA6EC6">
    <w:pPr>
      <w:pStyle w:val="DocID"/>
    </w:pPr>
    <w:bookmarkStart w:id="1" w:name="_iDocIDField4085fe94-f359-4ee6-84cc-6c66"/>
    <w:r>
      <w:rPr>
        <w:noProof/>
      </w:rPr>
      <w:t>DCAPDX\4142919.v1</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9F48" w14:textId="77777777" w:rsidR="00813ADC" w:rsidRDefault="00813ADC">
      <w:r>
        <w:separator/>
      </w:r>
    </w:p>
  </w:footnote>
  <w:footnote w:type="continuationSeparator" w:id="0">
    <w:p w14:paraId="5A0D5156" w14:textId="77777777" w:rsidR="00813ADC" w:rsidRDefault="00813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79DC" w14:textId="6CE0E23C" w:rsidR="00B25CE9" w:rsidRPr="000D6F81" w:rsidRDefault="00DE599E" w:rsidP="00B80356">
    <w:pPr>
      <w:pStyle w:val="Heading2"/>
      <w:keepNext/>
      <w:keepLines/>
      <w:widowControl/>
      <w:rPr>
        <w:rFonts w:ascii="Arial" w:hAnsi="Arial" w:cs="Arial"/>
        <w:sz w:val="24"/>
        <w:szCs w:val="24"/>
      </w:rPr>
    </w:pPr>
    <w:r>
      <w:rPr>
        <w:rFonts w:ascii="Arial" w:hAnsi="Arial" w:cs="Arial"/>
        <w:sz w:val="24"/>
        <w:szCs w:val="24"/>
      </w:rPr>
      <w:t>PLAINTIFF’S KEY INFORMATION SHEET</w:t>
    </w:r>
  </w:p>
  <w:p w14:paraId="651CE900" w14:textId="77777777" w:rsidR="00B25CE9" w:rsidRPr="000D6F81" w:rsidRDefault="00B25CE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50A57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12459F"/>
    <w:multiLevelType w:val="hybridMultilevel"/>
    <w:tmpl w:val="920A1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9739A"/>
    <w:multiLevelType w:val="hybridMultilevel"/>
    <w:tmpl w:val="3C18D562"/>
    <w:lvl w:ilvl="0" w:tplc="F6A002A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B166D9"/>
    <w:multiLevelType w:val="hybridMultilevel"/>
    <w:tmpl w:val="9FDE9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AB7C24"/>
    <w:multiLevelType w:val="hybridMultilevel"/>
    <w:tmpl w:val="4BF08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6573389">
    <w:abstractNumId w:val="0"/>
  </w:num>
  <w:num w:numId="2" w16cid:durableId="671957945">
    <w:abstractNumId w:val="2"/>
  </w:num>
  <w:num w:numId="3" w16cid:durableId="1879856437">
    <w:abstractNumId w:val="1"/>
  </w:num>
  <w:num w:numId="4" w16cid:durableId="682826964">
    <w:abstractNumId w:val="2"/>
  </w:num>
  <w:num w:numId="5" w16cid:durableId="971179075">
    <w:abstractNumId w:val="4"/>
  </w:num>
  <w:num w:numId="6" w16cid:durableId="515192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25"/>
    <w:rsid w:val="00003A22"/>
    <w:rsid w:val="00016B0B"/>
    <w:rsid w:val="00017EE7"/>
    <w:rsid w:val="000878C3"/>
    <w:rsid w:val="00092876"/>
    <w:rsid w:val="00096B17"/>
    <w:rsid w:val="000A2B71"/>
    <w:rsid w:val="000D6F81"/>
    <w:rsid w:val="000E2284"/>
    <w:rsid w:val="000E3CE8"/>
    <w:rsid w:val="001301A7"/>
    <w:rsid w:val="001668C7"/>
    <w:rsid w:val="001A7E07"/>
    <w:rsid w:val="001B1529"/>
    <w:rsid w:val="001F3A41"/>
    <w:rsid w:val="00215577"/>
    <w:rsid w:val="00221C0B"/>
    <w:rsid w:val="002734EF"/>
    <w:rsid w:val="002C5464"/>
    <w:rsid w:val="0039363C"/>
    <w:rsid w:val="004108BA"/>
    <w:rsid w:val="004328B4"/>
    <w:rsid w:val="00436FF8"/>
    <w:rsid w:val="004521F9"/>
    <w:rsid w:val="0046145A"/>
    <w:rsid w:val="004627F8"/>
    <w:rsid w:val="004743C4"/>
    <w:rsid w:val="00476A4A"/>
    <w:rsid w:val="0048093A"/>
    <w:rsid w:val="004B5617"/>
    <w:rsid w:val="004B5B18"/>
    <w:rsid w:val="004E2AC0"/>
    <w:rsid w:val="004F10E8"/>
    <w:rsid w:val="00530657"/>
    <w:rsid w:val="00573220"/>
    <w:rsid w:val="005D3C89"/>
    <w:rsid w:val="005F084E"/>
    <w:rsid w:val="00631A47"/>
    <w:rsid w:val="00632CFC"/>
    <w:rsid w:val="006E7E18"/>
    <w:rsid w:val="006F0B6F"/>
    <w:rsid w:val="006F5F8E"/>
    <w:rsid w:val="00715F44"/>
    <w:rsid w:val="0072590D"/>
    <w:rsid w:val="00787E0C"/>
    <w:rsid w:val="007C4BC6"/>
    <w:rsid w:val="007D666A"/>
    <w:rsid w:val="008111F6"/>
    <w:rsid w:val="00813ADC"/>
    <w:rsid w:val="00826F1B"/>
    <w:rsid w:val="00836EAD"/>
    <w:rsid w:val="008450F0"/>
    <w:rsid w:val="008549C9"/>
    <w:rsid w:val="008C01AB"/>
    <w:rsid w:val="00926F77"/>
    <w:rsid w:val="00936CEA"/>
    <w:rsid w:val="0095387C"/>
    <w:rsid w:val="00957E08"/>
    <w:rsid w:val="00982C8A"/>
    <w:rsid w:val="009A0025"/>
    <w:rsid w:val="009D7AC6"/>
    <w:rsid w:val="00A15DE8"/>
    <w:rsid w:val="00A45523"/>
    <w:rsid w:val="00A670CB"/>
    <w:rsid w:val="00A764A1"/>
    <w:rsid w:val="00A90B1C"/>
    <w:rsid w:val="00A93520"/>
    <w:rsid w:val="00AA1EB1"/>
    <w:rsid w:val="00B14631"/>
    <w:rsid w:val="00B23D4C"/>
    <w:rsid w:val="00B25CE9"/>
    <w:rsid w:val="00B34997"/>
    <w:rsid w:val="00B75D6A"/>
    <w:rsid w:val="00B80356"/>
    <w:rsid w:val="00BA6B34"/>
    <w:rsid w:val="00BB66B6"/>
    <w:rsid w:val="00BF1BF8"/>
    <w:rsid w:val="00C0627F"/>
    <w:rsid w:val="00C253B6"/>
    <w:rsid w:val="00C37DF0"/>
    <w:rsid w:val="00C774E1"/>
    <w:rsid w:val="00CB0BBA"/>
    <w:rsid w:val="00D531C8"/>
    <w:rsid w:val="00D72C72"/>
    <w:rsid w:val="00DB29E8"/>
    <w:rsid w:val="00DB7CF6"/>
    <w:rsid w:val="00DD690C"/>
    <w:rsid w:val="00DE599E"/>
    <w:rsid w:val="00DE7869"/>
    <w:rsid w:val="00DF7736"/>
    <w:rsid w:val="00E0228A"/>
    <w:rsid w:val="00EA6EC6"/>
    <w:rsid w:val="00EB6B62"/>
    <w:rsid w:val="00EB6D89"/>
    <w:rsid w:val="00EC489E"/>
    <w:rsid w:val="00F31646"/>
    <w:rsid w:val="00F51F60"/>
    <w:rsid w:val="00F768FB"/>
    <w:rsid w:val="00FA3692"/>
    <w:rsid w:val="00FA5853"/>
    <w:rsid w:val="00FA5B32"/>
    <w:rsid w:val="00FB1C96"/>
    <w:rsid w:val="00FC304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1F788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jc w:val="center"/>
      <w:outlineLvl w:val="1"/>
    </w:pPr>
    <w:rPr>
      <w:b/>
      <w:bCs/>
      <w:sz w:val="36"/>
      <w:szCs w:val="36"/>
    </w:rPr>
  </w:style>
  <w:style w:type="paragraph" w:styleId="Heading4">
    <w:name w:val="heading 4"/>
    <w:basedOn w:val="Normal"/>
    <w:next w:val="Normal"/>
    <w:link w:val="Heading4Char"/>
    <w:uiPriority w:val="9"/>
    <w:semiHidden/>
    <w:unhideWhenUsed/>
    <w:qFormat/>
    <w:rsid w:val="002734E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734E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style>
  <w:style w:type="character" w:customStyle="1" w:styleId="Hypertext">
    <w:name w:val="Hypertext"/>
    <w:rPr>
      <w:color w:val="0000FF"/>
      <w:u w:val="single"/>
    </w:rPr>
  </w:style>
  <w:style w:type="character" w:styleId="Hyperlink">
    <w:name w:val="Hyperlink"/>
    <w:rPr>
      <w:rFonts w:ascii="Arial" w:hAnsi="Arial" w:cs="Arial"/>
      <w:color w:val="0000FF"/>
      <w:u w:val="single"/>
    </w:rPr>
  </w:style>
  <w:style w:type="paragraph" w:styleId="Header">
    <w:name w:val="header"/>
    <w:basedOn w:val="Normal"/>
    <w:link w:val="HeaderChar"/>
    <w:rsid w:val="00715F44"/>
    <w:pPr>
      <w:tabs>
        <w:tab w:val="center" w:pos="4320"/>
        <w:tab w:val="right" w:pos="8640"/>
      </w:tabs>
    </w:pPr>
  </w:style>
  <w:style w:type="paragraph" w:styleId="BalloonText">
    <w:name w:val="Balloon Text"/>
    <w:basedOn w:val="Normal"/>
    <w:link w:val="BalloonTextChar"/>
    <w:uiPriority w:val="99"/>
    <w:semiHidden/>
    <w:unhideWhenUsed/>
    <w:rsid w:val="00DB29E8"/>
    <w:rPr>
      <w:rFonts w:ascii="Tahoma" w:hAnsi="Tahoma"/>
      <w:sz w:val="16"/>
      <w:szCs w:val="16"/>
      <w:lang w:val="x-none" w:eastAsia="x-none"/>
    </w:rPr>
  </w:style>
  <w:style w:type="character" w:customStyle="1" w:styleId="BalloonTextChar">
    <w:name w:val="Balloon Text Char"/>
    <w:link w:val="BalloonText"/>
    <w:uiPriority w:val="99"/>
    <w:semiHidden/>
    <w:rsid w:val="00DB29E8"/>
    <w:rPr>
      <w:rFonts w:ascii="Tahoma" w:hAnsi="Tahoma" w:cs="Tahoma"/>
      <w:sz w:val="16"/>
      <w:szCs w:val="16"/>
    </w:rPr>
  </w:style>
  <w:style w:type="character" w:styleId="FollowedHyperlink">
    <w:name w:val="FollowedHyperlink"/>
    <w:uiPriority w:val="99"/>
    <w:semiHidden/>
    <w:unhideWhenUsed/>
    <w:rsid w:val="00C253B6"/>
    <w:rPr>
      <w:color w:val="800080"/>
      <w:u w:val="single"/>
    </w:rPr>
  </w:style>
  <w:style w:type="character" w:styleId="PlaceholderText">
    <w:name w:val="Placeholder Text"/>
    <w:basedOn w:val="DefaultParagraphFont"/>
    <w:uiPriority w:val="99"/>
    <w:unhideWhenUsed/>
    <w:rsid w:val="00A670CB"/>
    <w:rPr>
      <w:color w:val="808080"/>
    </w:rPr>
  </w:style>
  <w:style w:type="paragraph" w:customStyle="1" w:styleId="DocID">
    <w:name w:val="DocID"/>
    <w:basedOn w:val="Footer"/>
    <w:next w:val="Footer"/>
    <w:link w:val="DocIDChar"/>
    <w:rsid w:val="00EA6EC6"/>
    <w:rPr>
      <w:rFonts w:ascii="Verdana" w:hAnsi="Verdana"/>
      <w:sz w:val="16"/>
      <w:szCs w:val="20"/>
    </w:rPr>
  </w:style>
  <w:style w:type="character" w:customStyle="1" w:styleId="DocIDChar">
    <w:name w:val="DocID Char"/>
    <w:basedOn w:val="DefaultParagraphFont"/>
    <w:link w:val="DocID"/>
    <w:rsid w:val="00EA6EC6"/>
    <w:rPr>
      <w:rFonts w:ascii="Verdana" w:hAnsi="Verdana"/>
      <w:sz w:val="16"/>
      <w:lang w:val="en-US" w:eastAsia="en-US"/>
    </w:rPr>
  </w:style>
  <w:style w:type="character" w:styleId="UnresolvedMention">
    <w:name w:val="Unresolved Mention"/>
    <w:basedOn w:val="DefaultParagraphFont"/>
    <w:uiPriority w:val="99"/>
    <w:semiHidden/>
    <w:unhideWhenUsed/>
    <w:rsid w:val="00221C0B"/>
    <w:rPr>
      <w:color w:val="605E5C"/>
      <w:shd w:val="clear" w:color="auto" w:fill="E1DFDD"/>
    </w:rPr>
  </w:style>
  <w:style w:type="character" w:customStyle="1" w:styleId="Heading4Char">
    <w:name w:val="Heading 4 Char"/>
    <w:basedOn w:val="DefaultParagraphFont"/>
    <w:link w:val="Heading4"/>
    <w:uiPriority w:val="9"/>
    <w:semiHidden/>
    <w:rsid w:val="002734E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2734EF"/>
    <w:rPr>
      <w:rFonts w:asciiTheme="majorHAnsi" w:eastAsiaTheme="majorEastAsia" w:hAnsiTheme="majorHAnsi" w:cstheme="majorBidi"/>
      <w:color w:val="2E74B5" w:themeColor="accent1" w:themeShade="BF"/>
      <w:sz w:val="24"/>
      <w:szCs w:val="24"/>
    </w:rPr>
  </w:style>
  <w:style w:type="character" w:customStyle="1" w:styleId="HeaderChar">
    <w:name w:val="Header Char"/>
    <w:basedOn w:val="DefaultParagraphFont"/>
    <w:link w:val="Header"/>
    <w:rsid w:val="002734EF"/>
    <w:rPr>
      <w:sz w:val="24"/>
      <w:szCs w:val="24"/>
    </w:rPr>
  </w:style>
  <w:style w:type="paragraph" w:styleId="CommentText">
    <w:name w:val="annotation text"/>
    <w:basedOn w:val="Normal"/>
    <w:link w:val="CommentTextChar"/>
    <w:semiHidden/>
    <w:rsid w:val="002734EF"/>
    <w:pPr>
      <w:widowControl/>
      <w:autoSpaceDE/>
      <w:autoSpaceDN/>
      <w:adjustRightInd/>
      <w:jc w:val="both"/>
    </w:pPr>
    <w:rPr>
      <w:sz w:val="20"/>
      <w:szCs w:val="20"/>
    </w:rPr>
  </w:style>
  <w:style w:type="character" w:customStyle="1" w:styleId="CommentTextChar">
    <w:name w:val="Comment Text Char"/>
    <w:basedOn w:val="DefaultParagraphFont"/>
    <w:link w:val="CommentText"/>
    <w:semiHidden/>
    <w:rsid w:val="002734EF"/>
  </w:style>
  <w:style w:type="table" w:styleId="TableGrid">
    <w:name w:val="Table Grid"/>
    <w:basedOn w:val="TableNormal"/>
    <w:uiPriority w:val="59"/>
    <w:rsid w:val="00DE5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4328B4"/>
    <w:pPr>
      <w:ind w:left="720"/>
      <w:contextualSpacing/>
    </w:pPr>
  </w:style>
  <w:style w:type="character" w:styleId="CommentReference">
    <w:name w:val="annotation reference"/>
    <w:basedOn w:val="DefaultParagraphFont"/>
    <w:uiPriority w:val="99"/>
    <w:semiHidden/>
    <w:unhideWhenUsed/>
    <w:rsid w:val="00B75D6A"/>
    <w:rPr>
      <w:sz w:val="16"/>
      <w:szCs w:val="16"/>
    </w:rPr>
  </w:style>
  <w:style w:type="paragraph" w:styleId="CommentSubject">
    <w:name w:val="annotation subject"/>
    <w:basedOn w:val="CommentText"/>
    <w:next w:val="CommentText"/>
    <w:link w:val="CommentSubjectChar"/>
    <w:uiPriority w:val="99"/>
    <w:semiHidden/>
    <w:unhideWhenUsed/>
    <w:rsid w:val="00B75D6A"/>
    <w:pPr>
      <w:widowControl w:val="0"/>
      <w:autoSpaceDE w:val="0"/>
      <w:autoSpaceDN w:val="0"/>
      <w:adjustRightInd w:val="0"/>
      <w:jc w:val="left"/>
    </w:pPr>
    <w:rPr>
      <w:b/>
      <w:bCs/>
    </w:rPr>
  </w:style>
  <w:style w:type="character" w:customStyle="1" w:styleId="CommentSubjectChar">
    <w:name w:val="Comment Subject Char"/>
    <w:basedOn w:val="CommentTextChar"/>
    <w:link w:val="CommentSubject"/>
    <w:uiPriority w:val="99"/>
    <w:semiHidden/>
    <w:rsid w:val="00B75D6A"/>
    <w:rPr>
      <w:b/>
      <w:bCs/>
    </w:rPr>
  </w:style>
  <w:style w:type="paragraph" w:styleId="Revision">
    <w:name w:val="Revision"/>
    <w:hidden/>
    <w:uiPriority w:val="71"/>
    <w:semiHidden/>
    <w:rsid w:val="00B349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09851">
      <w:bodyDiv w:val="1"/>
      <w:marLeft w:val="0"/>
      <w:marRight w:val="0"/>
      <w:marTop w:val="0"/>
      <w:marBottom w:val="0"/>
      <w:divBdr>
        <w:top w:val="none" w:sz="0" w:space="0" w:color="auto"/>
        <w:left w:val="none" w:sz="0" w:space="0" w:color="auto"/>
        <w:bottom w:val="none" w:sz="0" w:space="0" w:color="auto"/>
        <w:right w:val="none" w:sz="0" w:space="0" w:color="auto"/>
      </w:divBdr>
    </w:div>
    <w:div w:id="172903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288A60F6-D170-4A14-92F9-64FCB1A116DE}"/>
</file>

<file path=customXml/itemProps2.xml><?xml version="1.0" encoding="utf-8"?>
<ds:datastoreItem xmlns:ds="http://schemas.openxmlformats.org/officeDocument/2006/customXml" ds:itemID="{BE24EF29-224D-4FEC-B72E-5271A93EE975}"/>
</file>

<file path=customXml/itemProps3.xml><?xml version="1.0" encoding="utf-8"?>
<ds:datastoreItem xmlns:ds="http://schemas.openxmlformats.org/officeDocument/2006/customXml" ds:itemID="{0F41410E-2830-42B3-A59C-0E65B58CE228}"/>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Base/>
  <HLinks>
    <vt:vector size="60" baseType="variant">
      <vt:variant>
        <vt:i4>4587534</vt:i4>
      </vt:variant>
      <vt:variant>
        <vt:i4>27</vt:i4>
      </vt:variant>
      <vt:variant>
        <vt:i4>0</vt:i4>
      </vt:variant>
      <vt:variant>
        <vt:i4>5</vt:i4>
      </vt:variant>
      <vt:variant>
        <vt:lpwstr>http://www.unisearch.com/</vt:lpwstr>
      </vt:variant>
      <vt:variant>
        <vt:lpwstr/>
      </vt:variant>
      <vt:variant>
        <vt:i4>5111834</vt:i4>
      </vt:variant>
      <vt:variant>
        <vt:i4>24</vt:i4>
      </vt:variant>
      <vt:variant>
        <vt:i4>0</vt:i4>
      </vt:variant>
      <vt:variant>
        <vt:i4>5</vt:i4>
      </vt:variant>
      <vt:variant>
        <vt:lpwstr>http://www.gklcorpsearch.com/</vt:lpwstr>
      </vt:variant>
      <vt:variant>
        <vt:lpwstr/>
      </vt:variant>
      <vt:variant>
        <vt:i4>3211381</vt:i4>
      </vt:variant>
      <vt:variant>
        <vt:i4>21</vt:i4>
      </vt:variant>
      <vt:variant>
        <vt:i4>0</vt:i4>
      </vt:variant>
      <vt:variant>
        <vt:i4>5</vt:i4>
      </vt:variant>
      <vt:variant>
        <vt:lpwstr>http://www.sec.gov/edgar.shtml</vt:lpwstr>
      </vt:variant>
      <vt:variant>
        <vt:lpwstr/>
      </vt:variant>
      <vt:variant>
        <vt:i4>4980824</vt:i4>
      </vt:variant>
      <vt:variant>
        <vt:i4>18</vt:i4>
      </vt:variant>
      <vt:variant>
        <vt:i4>0</vt:i4>
      </vt:variant>
      <vt:variant>
        <vt:i4>5</vt:i4>
      </vt:variant>
      <vt:variant>
        <vt:lpwstr>http://www.lexisone.com/</vt:lpwstr>
      </vt:variant>
      <vt:variant>
        <vt:lpwstr/>
      </vt:variant>
      <vt:variant>
        <vt:i4>3014711</vt:i4>
      </vt:variant>
      <vt:variant>
        <vt:i4>15</vt:i4>
      </vt:variant>
      <vt:variant>
        <vt:i4>0</vt:i4>
      </vt:variant>
      <vt:variant>
        <vt:i4>5</vt:i4>
      </vt:variant>
      <vt:variant>
        <vt:lpwstr>http://www.lexisnexis.com/</vt:lpwstr>
      </vt:variant>
      <vt:variant>
        <vt:lpwstr/>
      </vt:variant>
      <vt:variant>
        <vt:i4>3801185</vt:i4>
      </vt:variant>
      <vt:variant>
        <vt:i4>12</vt:i4>
      </vt:variant>
      <vt:variant>
        <vt:i4>0</vt:i4>
      </vt:variant>
      <vt:variant>
        <vt:i4>5</vt:i4>
      </vt:variant>
      <vt:variant>
        <vt:lpwstr>http://www.westlaw.com/</vt:lpwstr>
      </vt:variant>
      <vt:variant>
        <vt:lpwstr/>
      </vt:variant>
      <vt:variant>
        <vt:i4>3866732</vt:i4>
      </vt:variant>
      <vt:variant>
        <vt:i4>9</vt:i4>
      </vt:variant>
      <vt:variant>
        <vt:i4>0</vt:i4>
      </vt:variant>
      <vt:variant>
        <vt:i4>5</vt:i4>
      </vt:variant>
      <vt:variant>
        <vt:lpwstr>http://www.loislaw.com/</vt:lpwstr>
      </vt:variant>
      <vt:variant>
        <vt:lpwstr/>
      </vt:variant>
      <vt:variant>
        <vt:i4>4063330</vt:i4>
      </vt:variant>
      <vt:variant>
        <vt:i4>6</vt:i4>
      </vt:variant>
      <vt:variant>
        <vt:i4>0</vt:i4>
      </vt:variant>
      <vt:variant>
        <vt:i4>5</vt:i4>
      </vt:variant>
      <vt:variant>
        <vt:lpwstr>http://www.autotrackxp.com/</vt:lpwstr>
      </vt:variant>
      <vt:variant>
        <vt:lpwstr/>
      </vt:variant>
      <vt:variant>
        <vt:i4>4456521</vt:i4>
      </vt:variant>
      <vt:variant>
        <vt:i4>3</vt:i4>
      </vt:variant>
      <vt:variant>
        <vt:i4>0</vt:i4>
      </vt:variant>
      <vt:variant>
        <vt:i4>5</vt:i4>
      </vt:variant>
      <vt:variant>
        <vt:lpwstr>http://www.clear.thompsonreuters.com/</vt:lpwstr>
      </vt:variant>
      <vt:variant>
        <vt:lpwstr/>
      </vt:variant>
      <vt:variant>
        <vt:i4>196627</vt:i4>
      </vt:variant>
      <vt:variant>
        <vt:i4>0</vt:i4>
      </vt:variant>
      <vt:variant>
        <vt:i4>0</vt:i4>
      </vt:variant>
      <vt:variant>
        <vt:i4>5</vt:i4>
      </vt:variant>
      <vt:variant>
        <vt:lpwstr>http://egov.sos.state.or.us/br/pkg_web_name_srch_inq.login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2025-11-02T03:46:00Z</dcterms:created>
  <dcterms:modified xsi:type="dcterms:W3CDTF">2025-11-02T03:46:00Z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221000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5" name="docLang">
    <vt:lpwstr>en</vt:lpwstr>
  </property>
</Properties>
</file>