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D160" w14:textId="36DA39E4" w:rsidR="00892702" w:rsidRPr="00DB47E2" w:rsidRDefault="0033605A" w:rsidP="004611B0">
      <w:pPr>
        <w:tabs>
          <w:tab w:val="left" w:pos="-720"/>
        </w:tabs>
        <w:suppressAutoHyphens/>
        <w:rPr>
          <w:rFonts w:ascii="Arial" w:hAnsi="Arial" w:cs="Arial"/>
          <w:sz w:val="22"/>
          <w:szCs w:val="22"/>
        </w:rPr>
      </w:pPr>
      <w:r w:rsidRPr="00DB47E2">
        <w:rPr>
          <w:rFonts w:ascii="Arial" w:hAnsi="Arial" w:cs="Arial"/>
          <w:sz w:val="22"/>
          <w:szCs w:val="22"/>
        </w:rPr>
        <w:t>ORS C</w:t>
      </w:r>
      <w:r w:rsidR="00513B04" w:rsidRPr="00DB47E2">
        <w:rPr>
          <w:rFonts w:ascii="Arial" w:hAnsi="Arial" w:cs="Arial"/>
          <w:sz w:val="22"/>
          <w:szCs w:val="22"/>
        </w:rPr>
        <w:t xml:space="preserve">hapter 12 </w:t>
      </w:r>
      <w:proofErr w:type="gramStart"/>
      <w:r w:rsidR="005D249A" w:rsidRPr="00DB47E2">
        <w:rPr>
          <w:rFonts w:ascii="Arial" w:hAnsi="Arial" w:cs="Arial"/>
          <w:sz w:val="22"/>
          <w:szCs w:val="22"/>
        </w:rPr>
        <w:t>contains</w:t>
      </w:r>
      <w:proofErr w:type="gramEnd"/>
      <w:r w:rsidR="005D249A" w:rsidRPr="00DB47E2">
        <w:rPr>
          <w:rFonts w:ascii="Arial" w:hAnsi="Arial" w:cs="Arial"/>
          <w:sz w:val="22"/>
          <w:szCs w:val="22"/>
        </w:rPr>
        <w:t xml:space="preserve"> </w:t>
      </w:r>
      <w:r w:rsidR="00513B04" w:rsidRPr="00DB47E2">
        <w:rPr>
          <w:rFonts w:ascii="Arial" w:hAnsi="Arial" w:cs="Arial"/>
          <w:sz w:val="22"/>
          <w:szCs w:val="22"/>
        </w:rPr>
        <w:t xml:space="preserve">most </w:t>
      </w:r>
      <w:r w:rsidR="00513B04" w:rsidRPr="00DB47E2">
        <w:rPr>
          <w:rFonts w:ascii="Arial" w:hAnsi="Arial" w:cs="Arial"/>
          <w:color w:val="000000"/>
          <w:sz w:val="22"/>
          <w:szCs w:val="22"/>
        </w:rPr>
        <w:t>of the</w:t>
      </w:r>
      <w:r w:rsidRPr="00DB47E2">
        <w:rPr>
          <w:rFonts w:ascii="Arial" w:hAnsi="Arial" w:cs="Arial"/>
          <w:color w:val="000000"/>
          <w:sz w:val="22"/>
          <w:szCs w:val="22"/>
        </w:rPr>
        <w:t xml:space="preserve"> </w:t>
      </w:r>
      <w:r w:rsidR="00513B04" w:rsidRPr="00DB47E2">
        <w:rPr>
          <w:rFonts w:ascii="Arial" w:hAnsi="Arial" w:cs="Arial"/>
          <w:sz w:val="22"/>
          <w:szCs w:val="22"/>
        </w:rPr>
        <w:t xml:space="preserve">statutes of </w:t>
      </w:r>
      <w:proofErr w:type="gramStart"/>
      <w:r w:rsidR="00513B04" w:rsidRPr="00DB47E2">
        <w:rPr>
          <w:rFonts w:ascii="Arial" w:hAnsi="Arial" w:cs="Arial"/>
          <w:sz w:val="22"/>
          <w:szCs w:val="22"/>
        </w:rPr>
        <w:t>limitation</w:t>
      </w:r>
      <w:r w:rsidR="005D249A" w:rsidRPr="00DB47E2">
        <w:rPr>
          <w:rFonts w:ascii="Arial" w:hAnsi="Arial" w:cs="Arial"/>
          <w:sz w:val="22"/>
          <w:szCs w:val="22"/>
        </w:rPr>
        <w:t>,</w:t>
      </w:r>
      <w:r w:rsidR="00513B04" w:rsidRPr="00DB47E2">
        <w:rPr>
          <w:rFonts w:ascii="Arial" w:hAnsi="Arial" w:cs="Arial"/>
          <w:sz w:val="22"/>
          <w:szCs w:val="22"/>
        </w:rPr>
        <w:t xml:space="preserve"> or</w:t>
      </w:r>
      <w:proofErr w:type="gramEnd"/>
      <w:r w:rsidR="00513B04" w:rsidRPr="00DB47E2">
        <w:rPr>
          <w:rFonts w:ascii="Arial" w:hAnsi="Arial" w:cs="Arial"/>
          <w:sz w:val="22"/>
          <w:szCs w:val="22"/>
        </w:rPr>
        <w:t xml:space="preserve"> refers you to other chapters where particular statutes of limitations are set forth</w:t>
      </w:r>
      <w:r w:rsidR="00FE39DD" w:rsidRPr="00DB47E2">
        <w:rPr>
          <w:rFonts w:ascii="Arial" w:hAnsi="Arial" w:cs="Arial"/>
          <w:sz w:val="22"/>
          <w:szCs w:val="22"/>
        </w:rPr>
        <w:t xml:space="preserve">. </w:t>
      </w:r>
      <w:r w:rsidR="005F5D91" w:rsidRPr="00DB47E2">
        <w:rPr>
          <w:rFonts w:ascii="Arial" w:hAnsi="Arial" w:cs="Arial"/>
          <w:sz w:val="22"/>
          <w:szCs w:val="22"/>
        </w:rPr>
        <w:t xml:space="preserve">Not every statute of limitation is in Chapter 12, </w:t>
      </w:r>
      <w:r w:rsidR="005D249A" w:rsidRPr="00DB47E2">
        <w:rPr>
          <w:rFonts w:ascii="Arial" w:hAnsi="Arial" w:cs="Arial"/>
          <w:sz w:val="22"/>
          <w:szCs w:val="22"/>
        </w:rPr>
        <w:t xml:space="preserve">however, </w:t>
      </w:r>
      <w:r w:rsidR="005F5D91" w:rsidRPr="00DB47E2">
        <w:rPr>
          <w:rFonts w:ascii="Arial" w:hAnsi="Arial" w:cs="Arial"/>
          <w:sz w:val="22"/>
          <w:szCs w:val="22"/>
        </w:rPr>
        <w:t xml:space="preserve">so </w:t>
      </w:r>
      <w:r w:rsidRPr="00DB47E2">
        <w:rPr>
          <w:rFonts w:ascii="Arial" w:hAnsi="Arial" w:cs="Arial"/>
          <w:sz w:val="22"/>
          <w:szCs w:val="22"/>
        </w:rPr>
        <w:t xml:space="preserve">check </w:t>
      </w:r>
      <w:r w:rsidR="005F5D91" w:rsidRPr="00DB47E2">
        <w:rPr>
          <w:rFonts w:ascii="Arial" w:hAnsi="Arial" w:cs="Arial"/>
          <w:sz w:val="22"/>
          <w:szCs w:val="22"/>
        </w:rPr>
        <w:t xml:space="preserve">the statutes at issue in your case to make sure they do not include </w:t>
      </w:r>
      <w:r w:rsidR="005D249A" w:rsidRPr="00DB47E2">
        <w:rPr>
          <w:rFonts w:ascii="Arial" w:hAnsi="Arial" w:cs="Arial"/>
          <w:sz w:val="22"/>
          <w:szCs w:val="22"/>
        </w:rPr>
        <w:t xml:space="preserve">their own </w:t>
      </w:r>
      <w:r w:rsidR="005F5D91" w:rsidRPr="00DB47E2">
        <w:rPr>
          <w:rFonts w:ascii="Arial" w:hAnsi="Arial" w:cs="Arial"/>
          <w:sz w:val="22"/>
          <w:szCs w:val="22"/>
        </w:rPr>
        <w:t xml:space="preserve">limitation period. </w:t>
      </w:r>
      <w:r w:rsidR="004A1283" w:rsidRPr="00DB47E2">
        <w:rPr>
          <w:rFonts w:ascii="Arial" w:hAnsi="Arial" w:cs="Arial"/>
          <w:sz w:val="22"/>
          <w:szCs w:val="22"/>
        </w:rPr>
        <w:t xml:space="preserve">There are additional </w:t>
      </w:r>
      <w:r w:rsidR="005D249A" w:rsidRPr="00DB47E2">
        <w:rPr>
          <w:rFonts w:ascii="Arial" w:hAnsi="Arial" w:cs="Arial"/>
          <w:sz w:val="22"/>
          <w:szCs w:val="22"/>
        </w:rPr>
        <w:t xml:space="preserve">“notice of claim” </w:t>
      </w:r>
      <w:r w:rsidR="002E0B77" w:rsidRPr="00DB47E2">
        <w:rPr>
          <w:rFonts w:ascii="Arial" w:hAnsi="Arial" w:cs="Arial"/>
          <w:sz w:val="22"/>
          <w:szCs w:val="22"/>
        </w:rPr>
        <w:t xml:space="preserve">periods </w:t>
      </w:r>
      <w:r w:rsidR="004A1283" w:rsidRPr="00DB47E2">
        <w:rPr>
          <w:rFonts w:ascii="Arial" w:hAnsi="Arial" w:cs="Arial"/>
          <w:sz w:val="22"/>
          <w:szCs w:val="22"/>
        </w:rPr>
        <w:t xml:space="preserve">that apply for </w:t>
      </w:r>
      <w:r w:rsidR="00BD6F55" w:rsidRPr="00DB47E2">
        <w:rPr>
          <w:rFonts w:ascii="Arial" w:hAnsi="Arial" w:cs="Arial"/>
          <w:sz w:val="22"/>
          <w:szCs w:val="22"/>
        </w:rPr>
        <w:t xml:space="preserve">some actions, such as claims </w:t>
      </w:r>
      <w:r w:rsidR="004A1283" w:rsidRPr="00DB47E2">
        <w:rPr>
          <w:rFonts w:ascii="Arial" w:hAnsi="Arial" w:cs="Arial"/>
          <w:sz w:val="22"/>
          <w:szCs w:val="22"/>
        </w:rPr>
        <w:t>against government entities</w:t>
      </w:r>
      <w:r w:rsidR="005D249A" w:rsidRPr="00DB47E2">
        <w:rPr>
          <w:rFonts w:ascii="Arial" w:hAnsi="Arial" w:cs="Arial"/>
          <w:sz w:val="22"/>
          <w:szCs w:val="22"/>
        </w:rPr>
        <w:t xml:space="preserve"> and dram shop actions, described below.  </w:t>
      </w:r>
    </w:p>
    <w:p w14:paraId="5D641B07" w14:textId="77777777" w:rsidR="00892702" w:rsidRPr="00DB47E2" w:rsidRDefault="00892702" w:rsidP="004611B0">
      <w:pPr>
        <w:tabs>
          <w:tab w:val="left" w:pos="-720"/>
        </w:tabs>
        <w:suppressAutoHyphens/>
        <w:rPr>
          <w:rFonts w:ascii="Arial" w:hAnsi="Arial" w:cs="Arial"/>
          <w:sz w:val="22"/>
          <w:szCs w:val="22"/>
        </w:rPr>
      </w:pPr>
    </w:p>
    <w:p w14:paraId="646DBC80" w14:textId="5B7CA763" w:rsidR="00892702" w:rsidRPr="00DB47E2" w:rsidRDefault="005F5D91" w:rsidP="004611B0">
      <w:pPr>
        <w:tabs>
          <w:tab w:val="left" w:pos="-720"/>
        </w:tabs>
        <w:suppressAutoHyphens/>
        <w:rPr>
          <w:rFonts w:ascii="Arial" w:hAnsi="Arial" w:cs="Arial"/>
          <w:sz w:val="22"/>
          <w:szCs w:val="22"/>
        </w:rPr>
      </w:pPr>
      <w:r w:rsidRPr="00DB47E2">
        <w:rPr>
          <w:rFonts w:ascii="Arial" w:hAnsi="Arial" w:cs="Arial"/>
          <w:sz w:val="22"/>
          <w:szCs w:val="22"/>
        </w:rPr>
        <w:t>Many, but not all, statutes of limitation</w:t>
      </w:r>
      <w:r w:rsidR="00C81AC8" w:rsidRPr="00DB47E2">
        <w:rPr>
          <w:rFonts w:ascii="Arial" w:hAnsi="Arial" w:cs="Arial"/>
          <w:sz w:val="22"/>
          <w:szCs w:val="22"/>
        </w:rPr>
        <w:t>s</w:t>
      </w:r>
      <w:r w:rsidRPr="00DB47E2">
        <w:rPr>
          <w:rFonts w:ascii="Arial" w:hAnsi="Arial" w:cs="Arial"/>
          <w:sz w:val="22"/>
          <w:szCs w:val="22"/>
        </w:rPr>
        <w:t xml:space="preserve"> contain a “discovery rule,” </w:t>
      </w:r>
      <w:r w:rsidR="0033605A" w:rsidRPr="00DB47E2">
        <w:rPr>
          <w:rFonts w:ascii="Arial" w:hAnsi="Arial" w:cs="Arial"/>
          <w:sz w:val="22"/>
          <w:szCs w:val="22"/>
        </w:rPr>
        <w:t xml:space="preserve">meaning </w:t>
      </w:r>
      <w:r w:rsidRPr="00DB47E2">
        <w:rPr>
          <w:rFonts w:ascii="Arial" w:hAnsi="Arial" w:cs="Arial"/>
          <w:sz w:val="22"/>
          <w:szCs w:val="22"/>
        </w:rPr>
        <w:t xml:space="preserve">the claim accrues when </w:t>
      </w:r>
      <w:r w:rsidR="00C31B08" w:rsidRPr="00DB47E2">
        <w:rPr>
          <w:rFonts w:ascii="Arial" w:hAnsi="Arial" w:cs="Arial"/>
          <w:sz w:val="22"/>
          <w:szCs w:val="22"/>
        </w:rPr>
        <w:t xml:space="preserve">its elements are </w:t>
      </w:r>
      <w:r w:rsidRPr="00DB47E2">
        <w:rPr>
          <w:rFonts w:ascii="Arial" w:hAnsi="Arial" w:cs="Arial"/>
          <w:sz w:val="22"/>
          <w:szCs w:val="22"/>
        </w:rPr>
        <w:t>discovered,</w:t>
      </w:r>
      <w:r w:rsidR="00C31B08" w:rsidRPr="00DB47E2">
        <w:rPr>
          <w:rFonts w:ascii="Arial" w:hAnsi="Arial" w:cs="Arial"/>
          <w:sz w:val="22"/>
          <w:szCs w:val="22"/>
        </w:rPr>
        <w:t xml:space="preserve"> </w:t>
      </w:r>
      <w:r w:rsidRPr="00DB47E2">
        <w:rPr>
          <w:rFonts w:ascii="Arial" w:hAnsi="Arial" w:cs="Arial"/>
          <w:sz w:val="22"/>
          <w:szCs w:val="22"/>
        </w:rPr>
        <w:t xml:space="preserve">even if the statute </w:t>
      </w:r>
      <w:r w:rsidR="0033605A" w:rsidRPr="00DB47E2">
        <w:rPr>
          <w:rFonts w:ascii="Arial" w:hAnsi="Arial" w:cs="Arial"/>
          <w:sz w:val="22"/>
          <w:szCs w:val="22"/>
        </w:rPr>
        <w:t>mentions no discovery rule</w:t>
      </w:r>
      <w:r w:rsidRPr="00DB47E2">
        <w:rPr>
          <w:rFonts w:ascii="Arial" w:hAnsi="Arial" w:cs="Arial"/>
          <w:sz w:val="22"/>
          <w:szCs w:val="22"/>
        </w:rPr>
        <w:t xml:space="preserve">.  </w:t>
      </w:r>
      <w:r w:rsidR="00C31B08" w:rsidRPr="00DB47E2">
        <w:rPr>
          <w:rFonts w:ascii="Arial" w:hAnsi="Arial" w:cs="Arial"/>
          <w:sz w:val="22"/>
          <w:szCs w:val="22"/>
        </w:rPr>
        <w:t xml:space="preserve">Check </w:t>
      </w:r>
      <w:r w:rsidR="00C81AC8" w:rsidRPr="00DB47E2">
        <w:rPr>
          <w:rFonts w:ascii="Arial" w:hAnsi="Arial" w:cs="Arial"/>
          <w:sz w:val="22"/>
          <w:szCs w:val="22"/>
        </w:rPr>
        <w:t xml:space="preserve">case </w:t>
      </w:r>
      <w:r w:rsidR="00C31B08" w:rsidRPr="00DB47E2">
        <w:rPr>
          <w:rFonts w:ascii="Arial" w:hAnsi="Arial" w:cs="Arial"/>
          <w:sz w:val="22"/>
          <w:szCs w:val="22"/>
        </w:rPr>
        <w:t xml:space="preserve">law to determine if your claim accrues upon discovery.  </w:t>
      </w:r>
      <w:r w:rsidR="00B451F2" w:rsidRPr="00DB47E2">
        <w:rPr>
          <w:rFonts w:ascii="Arial" w:hAnsi="Arial" w:cs="Arial"/>
          <w:sz w:val="22"/>
          <w:szCs w:val="22"/>
        </w:rPr>
        <w:t>Generally, n</w:t>
      </w:r>
      <w:r w:rsidR="008F2D6D" w:rsidRPr="00DB47E2">
        <w:rPr>
          <w:rFonts w:ascii="Arial" w:hAnsi="Arial" w:cs="Arial"/>
          <w:sz w:val="22"/>
          <w:szCs w:val="22"/>
        </w:rPr>
        <w:t>egligence claims accrue upon discovery</w:t>
      </w:r>
      <w:r w:rsidR="00C81AC8" w:rsidRPr="00DB47E2">
        <w:rPr>
          <w:rFonts w:ascii="Arial" w:hAnsi="Arial" w:cs="Arial"/>
          <w:sz w:val="22"/>
          <w:szCs w:val="22"/>
        </w:rPr>
        <w:t>, with a 10-</w:t>
      </w:r>
      <w:r w:rsidR="00B451F2" w:rsidRPr="00DB47E2">
        <w:rPr>
          <w:rFonts w:ascii="Arial" w:hAnsi="Arial" w:cs="Arial"/>
          <w:sz w:val="22"/>
          <w:szCs w:val="22"/>
        </w:rPr>
        <w:t xml:space="preserve">year statute of ultimate repose, but </w:t>
      </w:r>
      <w:r w:rsidR="00B451F2" w:rsidRPr="00DB47E2">
        <w:rPr>
          <w:rFonts w:ascii="Arial" w:hAnsi="Arial" w:cs="Arial"/>
          <w:color w:val="000000"/>
          <w:sz w:val="22"/>
          <w:szCs w:val="22"/>
        </w:rPr>
        <w:t>be sure to check</w:t>
      </w:r>
      <w:r w:rsidR="0033605A" w:rsidRPr="00DB47E2">
        <w:rPr>
          <w:rFonts w:ascii="Arial" w:hAnsi="Arial" w:cs="Arial"/>
          <w:color w:val="000000"/>
          <w:sz w:val="22"/>
          <w:szCs w:val="22"/>
        </w:rPr>
        <w:t xml:space="preserve"> </w:t>
      </w:r>
      <w:r w:rsidR="00C81AC8" w:rsidRPr="00DB47E2">
        <w:rPr>
          <w:rFonts w:ascii="Arial" w:hAnsi="Arial" w:cs="Arial"/>
          <w:sz w:val="22"/>
          <w:szCs w:val="22"/>
        </w:rPr>
        <w:t xml:space="preserve">the statutes and case </w:t>
      </w:r>
      <w:r w:rsidR="00B451F2" w:rsidRPr="00DB47E2">
        <w:rPr>
          <w:rFonts w:ascii="Arial" w:hAnsi="Arial" w:cs="Arial"/>
          <w:sz w:val="22"/>
          <w:szCs w:val="22"/>
        </w:rPr>
        <w:t xml:space="preserve">law regarding the specific claim </w:t>
      </w:r>
      <w:r w:rsidR="00B451F2" w:rsidRPr="00DB47E2">
        <w:rPr>
          <w:rFonts w:ascii="Arial" w:hAnsi="Arial" w:cs="Arial"/>
          <w:color w:val="000000"/>
          <w:sz w:val="22"/>
          <w:szCs w:val="22"/>
        </w:rPr>
        <w:t>at issue</w:t>
      </w:r>
      <w:r w:rsidR="00B451F2" w:rsidRPr="00DB47E2">
        <w:rPr>
          <w:rFonts w:ascii="Arial" w:hAnsi="Arial" w:cs="Arial"/>
          <w:sz w:val="22"/>
          <w:szCs w:val="22"/>
        </w:rPr>
        <w:t xml:space="preserve">. </w:t>
      </w:r>
      <w:r w:rsidR="008F2D6D" w:rsidRPr="00DB47E2">
        <w:rPr>
          <w:rFonts w:ascii="Arial" w:hAnsi="Arial" w:cs="Arial"/>
          <w:sz w:val="22"/>
          <w:szCs w:val="22"/>
        </w:rPr>
        <w:t xml:space="preserve">  </w:t>
      </w:r>
    </w:p>
    <w:p w14:paraId="59209C6E" w14:textId="51744B22" w:rsidR="00513B04" w:rsidRPr="00DB47E2" w:rsidRDefault="00513B04" w:rsidP="004611B0">
      <w:pPr>
        <w:tabs>
          <w:tab w:val="left" w:pos="-720"/>
        </w:tabs>
        <w:suppressAutoHyphens/>
        <w:rPr>
          <w:rFonts w:ascii="Arial" w:hAnsi="Arial" w:cs="Arial"/>
          <w:sz w:val="22"/>
          <w:szCs w:val="22"/>
        </w:rPr>
      </w:pPr>
    </w:p>
    <w:p w14:paraId="44CFBDC3" w14:textId="58A2BB2F" w:rsidR="00AE2DA2" w:rsidRPr="00DB47E2" w:rsidRDefault="00AE2DA2" w:rsidP="00AE2DA2">
      <w:pPr>
        <w:rPr>
          <w:rFonts w:ascii="Arial" w:hAnsi="Arial" w:cs="Arial"/>
          <w:sz w:val="22"/>
          <w:szCs w:val="22"/>
        </w:rPr>
      </w:pPr>
      <w:r w:rsidRPr="00DB47E2">
        <w:rPr>
          <w:rFonts w:ascii="Arial" w:hAnsi="Arial" w:cs="Arial"/>
          <w:sz w:val="22"/>
          <w:szCs w:val="22"/>
        </w:rPr>
        <w:t>When calc</w:t>
      </w:r>
      <w:r w:rsidR="00C81AC8" w:rsidRPr="00DB47E2">
        <w:rPr>
          <w:rFonts w:ascii="Arial" w:hAnsi="Arial" w:cs="Arial"/>
          <w:sz w:val="22"/>
          <w:szCs w:val="22"/>
        </w:rPr>
        <w:t>ulating a statute of limitation</w:t>
      </w:r>
      <w:r w:rsidRPr="00DB47E2">
        <w:rPr>
          <w:rFonts w:ascii="Arial" w:hAnsi="Arial" w:cs="Arial"/>
          <w:sz w:val="22"/>
          <w:szCs w:val="22"/>
        </w:rPr>
        <w:t>:</w:t>
      </w:r>
    </w:p>
    <w:p w14:paraId="70AFACD7" w14:textId="77777777" w:rsidR="00AE2DA2" w:rsidRPr="00DB47E2" w:rsidRDefault="00AE2DA2" w:rsidP="00AE2DA2">
      <w:pPr>
        <w:rPr>
          <w:rFonts w:ascii="Arial" w:hAnsi="Arial" w:cs="Arial"/>
          <w:sz w:val="22"/>
          <w:szCs w:val="22"/>
        </w:rPr>
      </w:pPr>
    </w:p>
    <w:p w14:paraId="1E86AD7E" w14:textId="75734605" w:rsidR="00AE2DA2" w:rsidRPr="00DB47E2" w:rsidRDefault="00AE2DA2" w:rsidP="00AE2DA2">
      <w:pPr>
        <w:numPr>
          <w:ilvl w:val="0"/>
          <w:numId w:val="5"/>
        </w:numPr>
        <w:rPr>
          <w:rFonts w:ascii="Arial" w:hAnsi="Arial" w:cs="Arial"/>
          <w:sz w:val="22"/>
          <w:szCs w:val="22"/>
        </w:rPr>
      </w:pPr>
      <w:r w:rsidRPr="00DB47E2">
        <w:rPr>
          <w:rFonts w:ascii="Arial" w:hAnsi="Arial" w:cs="Arial"/>
          <w:sz w:val="22"/>
          <w:szCs w:val="22"/>
          <w:u w:val="single"/>
        </w:rPr>
        <w:t>Exclude</w:t>
      </w:r>
      <w:r w:rsidRPr="00DB47E2">
        <w:rPr>
          <w:rFonts w:ascii="Arial" w:hAnsi="Arial" w:cs="Arial"/>
          <w:sz w:val="22"/>
          <w:szCs w:val="22"/>
        </w:rPr>
        <w:t xml:space="preserve"> the first day or day of the occurrence</w:t>
      </w:r>
      <w:r w:rsidR="008E5689" w:rsidRPr="00DB47E2">
        <w:rPr>
          <w:rFonts w:ascii="Arial" w:hAnsi="Arial" w:cs="Arial"/>
          <w:sz w:val="22"/>
          <w:szCs w:val="22"/>
        </w:rPr>
        <w:t>.</w:t>
      </w:r>
    </w:p>
    <w:p w14:paraId="2FBA7824" w14:textId="62521285" w:rsidR="00AE2DA2" w:rsidRPr="00DB47E2" w:rsidRDefault="00AE2DA2" w:rsidP="00AE2DA2">
      <w:pPr>
        <w:numPr>
          <w:ilvl w:val="0"/>
          <w:numId w:val="5"/>
        </w:numPr>
        <w:rPr>
          <w:rFonts w:ascii="Arial" w:hAnsi="Arial" w:cs="Arial"/>
          <w:sz w:val="22"/>
          <w:szCs w:val="22"/>
        </w:rPr>
      </w:pPr>
      <w:r w:rsidRPr="00DB47E2">
        <w:rPr>
          <w:rFonts w:ascii="Arial" w:hAnsi="Arial" w:cs="Arial"/>
          <w:sz w:val="22"/>
          <w:szCs w:val="22"/>
          <w:u w:val="single"/>
        </w:rPr>
        <w:t>Include</w:t>
      </w:r>
      <w:r w:rsidRPr="00DB47E2">
        <w:rPr>
          <w:rFonts w:ascii="Arial" w:hAnsi="Arial" w:cs="Arial"/>
          <w:sz w:val="22"/>
          <w:szCs w:val="22"/>
        </w:rPr>
        <w:t xml:space="preserve"> the last day</w:t>
      </w:r>
      <w:r w:rsidR="008E5689" w:rsidRPr="00DB47E2">
        <w:rPr>
          <w:rFonts w:ascii="Arial" w:hAnsi="Arial" w:cs="Arial"/>
          <w:sz w:val="22"/>
          <w:szCs w:val="22"/>
        </w:rPr>
        <w:t>.</w:t>
      </w:r>
    </w:p>
    <w:p w14:paraId="1F9FCDDA" w14:textId="77777777" w:rsidR="00AE2DA2" w:rsidRPr="00DB47E2" w:rsidRDefault="00AE2DA2" w:rsidP="00AE2DA2">
      <w:pPr>
        <w:numPr>
          <w:ilvl w:val="0"/>
          <w:numId w:val="5"/>
        </w:numPr>
        <w:rPr>
          <w:rFonts w:ascii="Arial" w:hAnsi="Arial" w:cs="Arial"/>
          <w:sz w:val="22"/>
          <w:szCs w:val="22"/>
        </w:rPr>
      </w:pPr>
      <w:r w:rsidRPr="00DB47E2">
        <w:rPr>
          <w:rFonts w:ascii="Arial" w:hAnsi="Arial" w:cs="Arial"/>
          <w:sz w:val="22"/>
          <w:szCs w:val="22"/>
        </w:rPr>
        <w:t xml:space="preserve">If the </w:t>
      </w:r>
      <w:r w:rsidRPr="00DB47E2">
        <w:rPr>
          <w:rFonts w:ascii="Arial" w:hAnsi="Arial" w:cs="Arial"/>
          <w:sz w:val="22"/>
          <w:szCs w:val="22"/>
          <w:u w:val="single"/>
        </w:rPr>
        <w:t>last day</w:t>
      </w:r>
      <w:r w:rsidRPr="00DB47E2">
        <w:rPr>
          <w:rFonts w:ascii="Arial" w:hAnsi="Arial" w:cs="Arial"/>
          <w:sz w:val="22"/>
          <w:szCs w:val="22"/>
        </w:rPr>
        <w:t xml:space="preserve"> falls on a holiday, weekend, or furlough day when courts are closed, include the </w:t>
      </w:r>
      <w:r w:rsidRPr="00DB47E2">
        <w:rPr>
          <w:rFonts w:ascii="Arial" w:hAnsi="Arial" w:cs="Arial"/>
          <w:sz w:val="22"/>
          <w:szCs w:val="22"/>
          <w:u w:val="single"/>
        </w:rPr>
        <w:t>next judicial day.</w:t>
      </w:r>
    </w:p>
    <w:p w14:paraId="50A8F6B1" w14:textId="77777777" w:rsidR="00AE2DA2" w:rsidRPr="00DB47E2" w:rsidRDefault="00AE2DA2" w:rsidP="00AE2DA2">
      <w:pPr>
        <w:numPr>
          <w:ilvl w:val="0"/>
          <w:numId w:val="5"/>
        </w:numPr>
        <w:rPr>
          <w:rFonts w:ascii="Arial" w:hAnsi="Arial" w:cs="Arial"/>
          <w:sz w:val="22"/>
          <w:szCs w:val="22"/>
        </w:rPr>
      </w:pPr>
      <w:r w:rsidRPr="00DB47E2">
        <w:rPr>
          <w:rFonts w:ascii="Arial" w:hAnsi="Arial" w:cs="Arial"/>
          <w:color w:val="000000"/>
          <w:sz w:val="22"/>
          <w:szCs w:val="22"/>
        </w:rPr>
        <w:t>Civil procedural statutes providing that something</w:t>
      </w:r>
      <w:r w:rsidR="0033605A" w:rsidRPr="00DB47E2">
        <w:rPr>
          <w:rFonts w:ascii="Arial" w:hAnsi="Arial" w:cs="Arial"/>
          <w:color w:val="000000"/>
          <w:sz w:val="22"/>
          <w:szCs w:val="22"/>
        </w:rPr>
        <w:t xml:space="preserve"> </w:t>
      </w:r>
      <w:r w:rsidRPr="00DB47E2">
        <w:rPr>
          <w:rFonts w:ascii="Arial" w:hAnsi="Arial" w:cs="Arial"/>
          <w:sz w:val="22"/>
          <w:szCs w:val="22"/>
        </w:rPr>
        <w:t>must be done within one or more years are to be computed by “calendar years.”  ORS 174.120.</w:t>
      </w:r>
    </w:p>
    <w:p w14:paraId="7D0CBD9D" w14:textId="77777777" w:rsidR="00AE2DA2" w:rsidRPr="00DB47E2" w:rsidRDefault="00AE2DA2" w:rsidP="00AE2DA2">
      <w:pPr>
        <w:rPr>
          <w:rFonts w:ascii="Arial" w:hAnsi="Arial" w:cs="Arial"/>
          <w:sz w:val="22"/>
          <w:szCs w:val="22"/>
        </w:rPr>
      </w:pPr>
    </w:p>
    <w:p w14:paraId="6CD31DA7" w14:textId="496C8385" w:rsidR="00AE2DA2" w:rsidRPr="00DB47E2" w:rsidRDefault="00AE2DA2" w:rsidP="00AE2DA2">
      <w:pPr>
        <w:rPr>
          <w:rFonts w:ascii="Arial" w:hAnsi="Arial" w:cs="Arial"/>
          <w:sz w:val="22"/>
          <w:szCs w:val="22"/>
        </w:rPr>
      </w:pPr>
      <w:r w:rsidRPr="00DB47E2">
        <w:rPr>
          <w:rFonts w:ascii="Arial" w:hAnsi="Arial" w:cs="Arial"/>
          <w:sz w:val="22"/>
          <w:szCs w:val="22"/>
        </w:rPr>
        <w:t xml:space="preserve">For example, if the </w:t>
      </w:r>
      <w:r w:rsidR="00FE39DD" w:rsidRPr="00DB47E2">
        <w:rPr>
          <w:rFonts w:ascii="Arial" w:hAnsi="Arial" w:cs="Arial"/>
          <w:sz w:val="22"/>
          <w:szCs w:val="22"/>
        </w:rPr>
        <w:t xml:space="preserve">claim </w:t>
      </w:r>
      <w:proofErr w:type="gramStart"/>
      <w:r w:rsidR="00FE39DD" w:rsidRPr="00DB47E2">
        <w:rPr>
          <w:rFonts w:ascii="Arial" w:hAnsi="Arial" w:cs="Arial"/>
          <w:sz w:val="22"/>
          <w:szCs w:val="22"/>
        </w:rPr>
        <w:t>accrues</w:t>
      </w:r>
      <w:proofErr w:type="gramEnd"/>
      <w:r w:rsidR="00FE39DD" w:rsidRPr="00DB47E2">
        <w:rPr>
          <w:rFonts w:ascii="Arial" w:hAnsi="Arial" w:cs="Arial"/>
          <w:sz w:val="22"/>
          <w:szCs w:val="22"/>
        </w:rPr>
        <w:t xml:space="preserve"> on </w:t>
      </w:r>
      <w:r w:rsidRPr="00DB47E2">
        <w:rPr>
          <w:rFonts w:ascii="Arial" w:hAnsi="Arial" w:cs="Arial"/>
          <w:sz w:val="22"/>
          <w:szCs w:val="22"/>
        </w:rPr>
        <w:t xml:space="preserve">January 1, </w:t>
      </w:r>
      <w:proofErr w:type="gramStart"/>
      <w:r w:rsidRPr="00DB47E2">
        <w:rPr>
          <w:rFonts w:ascii="Arial" w:hAnsi="Arial" w:cs="Arial"/>
          <w:sz w:val="22"/>
          <w:szCs w:val="22"/>
        </w:rPr>
        <w:t>201</w:t>
      </w:r>
      <w:r w:rsidR="00C81AC8" w:rsidRPr="00DB47E2">
        <w:rPr>
          <w:rFonts w:ascii="Arial" w:hAnsi="Arial" w:cs="Arial"/>
          <w:sz w:val="22"/>
          <w:szCs w:val="22"/>
        </w:rPr>
        <w:t>0</w:t>
      </w:r>
      <w:proofErr w:type="gramEnd"/>
      <w:r w:rsidR="00C81AC8" w:rsidRPr="00DB47E2">
        <w:rPr>
          <w:rFonts w:ascii="Arial" w:hAnsi="Arial" w:cs="Arial"/>
          <w:sz w:val="22"/>
          <w:szCs w:val="22"/>
        </w:rPr>
        <w:t xml:space="preserve"> and the statute of limitation</w:t>
      </w:r>
      <w:r w:rsidRPr="00DB47E2">
        <w:rPr>
          <w:rFonts w:ascii="Arial" w:hAnsi="Arial" w:cs="Arial"/>
          <w:sz w:val="22"/>
          <w:szCs w:val="22"/>
        </w:rPr>
        <w:t xml:space="preserve"> is 2 years, you </w:t>
      </w:r>
      <w:r w:rsidRPr="00DB47E2">
        <w:rPr>
          <w:rFonts w:ascii="Arial" w:hAnsi="Arial" w:cs="Arial"/>
          <w:color w:val="000000"/>
          <w:sz w:val="22"/>
          <w:szCs w:val="22"/>
        </w:rPr>
        <w:t>start counting</w:t>
      </w:r>
      <w:r w:rsidR="0033605A" w:rsidRPr="00DB47E2">
        <w:rPr>
          <w:rFonts w:ascii="Arial" w:hAnsi="Arial" w:cs="Arial"/>
          <w:color w:val="000000"/>
          <w:sz w:val="22"/>
          <w:szCs w:val="22"/>
        </w:rPr>
        <w:t xml:space="preserve"> </w:t>
      </w:r>
      <w:r w:rsidRPr="00DB47E2">
        <w:rPr>
          <w:rFonts w:ascii="Arial" w:hAnsi="Arial" w:cs="Arial"/>
          <w:sz w:val="22"/>
          <w:szCs w:val="22"/>
        </w:rPr>
        <w:t>on January 2, 2010.  Absent application of a discovery rule</w:t>
      </w:r>
      <w:r w:rsidR="00FE39DD" w:rsidRPr="00DB47E2">
        <w:rPr>
          <w:rFonts w:ascii="Arial" w:hAnsi="Arial" w:cs="Arial"/>
          <w:sz w:val="22"/>
          <w:szCs w:val="22"/>
        </w:rPr>
        <w:t xml:space="preserve"> or some other tolling rule</w:t>
      </w:r>
      <w:r w:rsidRPr="00DB47E2">
        <w:rPr>
          <w:rFonts w:ascii="Arial" w:hAnsi="Arial" w:cs="Arial"/>
          <w:sz w:val="22"/>
          <w:szCs w:val="22"/>
        </w:rPr>
        <w:t xml:space="preserve">, the 2-year time limit would expire on January 1, 2012, unless that day is a Saturday, Sunday or legal holiday, in which case the statute would expire on the next day that is a judicial working day.  </w:t>
      </w:r>
    </w:p>
    <w:p w14:paraId="7A2585FA" w14:textId="77777777" w:rsidR="00513B04" w:rsidRPr="00DB47E2" w:rsidRDefault="00513B04">
      <w:pPr>
        <w:pStyle w:val="BodyText2"/>
        <w:rPr>
          <w:rFonts w:cs="Arial"/>
          <w:szCs w:val="22"/>
        </w:rPr>
      </w:pPr>
    </w:p>
    <w:p w14:paraId="0C91C0D5" w14:textId="4A89FD20" w:rsidR="00513B04" w:rsidRPr="00DB47E2" w:rsidRDefault="00513B04" w:rsidP="00512BF4">
      <w:pPr>
        <w:tabs>
          <w:tab w:val="left" w:pos="-720"/>
        </w:tabs>
        <w:suppressAutoHyphens/>
        <w:rPr>
          <w:rFonts w:ascii="Arial" w:hAnsi="Arial" w:cs="Arial"/>
          <w:sz w:val="22"/>
          <w:szCs w:val="22"/>
        </w:rPr>
      </w:pPr>
      <w:r w:rsidRPr="00DB47E2">
        <w:rPr>
          <w:rFonts w:ascii="Arial" w:hAnsi="Arial" w:cs="Arial"/>
          <w:sz w:val="22"/>
          <w:szCs w:val="22"/>
        </w:rPr>
        <w:t xml:space="preserve">An action is deemed commenced on the date of filing a complaint if service is completed in the proper manner within 60 days from the filing date.  Otherwise, an action is deemed commenced on the date of proper service </w:t>
      </w:r>
      <w:r w:rsidRPr="00DB47E2">
        <w:rPr>
          <w:rFonts w:ascii="Arial" w:hAnsi="Arial" w:cs="Arial"/>
          <w:color w:val="000000"/>
          <w:sz w:val="22"/>
          <w:szCs w:val="22"/>
        </w:rPr>
        <w:t>of the complaint</w:t>
      </w:r>
      <w:r w:rsidRPr="00DB47E2">
        <w:rPr>
          <w:rFonts w:ascii="Arial" w:hAnsi="Arial" w:cs="Arial"/>
          <w:sz w:val="22"/>
          <w:szCs w:val="22"/>
        </w:rPr>
        <w:t xml:space="preserve">. </w:t>
      </w:r>
      <w:r w:rsidR="00953C11" w:rsidRPr="00DB47E2">
        <w:rPr>
          <w:rFonts w:ascii="Arial" w:hAnsi="Arial" w:cs="Arial"/>
          <w:sz w:val="22"/>
          <w:szCs w:val="22"/>
        </w:rPr>
        <w:t xml:space="preserve">However, </w:t>
      </w:r>
      <w:r w:rsidRPr="00DB47E2">
        <w:rPr>
          <w:rFonts w:ascii="Arial" w:hAnsi="Arial" w:cs="Arial"/>
          <w:sz w:val="22"/>
          <w:szCs w:val="22"/>
        </w:rPr>
        <w:t>ORS 12.220 provide</w:t>
      </w:r>
      <w:r w:rsidR="00953C11" w:rsidRPr="00DB47E2">
        <w:rPr>
          <w:rFonts w:ascii="Arial" w:hAnsi="Arial" w:cs="Arial"/>
          <w:sz w:val="22"/>
          <w:szCs w:val="22"/>
        </w:rPr>
        <w:t>s</w:t>
      </w:r>
      <w:r w:rsidR="00FB3AC7" w:rsidRPr="00DB47E2">
        <w:rPr>
          <w:rFonts w:ascii="Arial" w:hAnsi="Arial" w:cs="Arial"/>
          <w:sz w:val="22"/>
          <w:szCs w:val="22"/>
        </w:rPr>
        <w:t xml:space="preserve"> that, </w:t>
      </w:r>
      <w:r w:rsidRPr="00DB47E2">
        <w:rPr>
          <w:rFonts w:ascii="Arial" w:hAnsi="Arial" w:cs="Arial"/>
          <w:sz w:val="22"/>
          <w:szCs w:val="22"/>
        </w:rPr>
        <w:t>notwithstanding ORS 12.020, if an action was timely filed (but not served within 60 days) and dismissed on a ground not adjudicating the merits (including lack of service), a plaintiff can bring a new action based on the same claim which will not be time-barred if</w:t>
      </w:r>
      <w:r w:rsidR="00832BB0" w:rsidRPr="00DB47E2">
        <w:rPr>
          <w:rFonts w:ascii="Arial" w:hAnsi="Arial" w:cs="Arial"/>
          <w:sz w:val="22"/>
          <w:szCs w:val="22"/>
        </w:rPr>
        <w:t>:</w:t>
      </w:r>
      <w:r w:rsidRPr="00DB47E2">
        <w:rPr>
          <w:rFonts w:ascii="Arial" w:hAnsi="Arial" w:cs="Arial"/>
          <w:sz w:val="22"/>
          <w:szCs w:val="22"/>
        </w:rPr>
        <w:t xml:space="preserve"> (1) the defendant had actual notice of </w:t>
      </w:r>
      <w:r w:rsidRPr="00DB47E2">
        <w:rPr>
          <w:rFonts w:ascii="Arial" w:hAnsi="Arial" w:cs="Arial"/>
          <w:color w:val="000000"/>
          <w:sz w:val="22"/>
          <w:szCs w:val="22"/>
        </w:rPr>
        <w:t>the filing of</w:t>
      </w:r>
      <w:r w:rsidR="0033605A" w:rsidRPr="00DB47E2">
        <w:rPr>
          <w:rFonts w:ascii="Arial" w:hAnsi="Arial" w:cs="Arial"/>
          <w:color w:val="000000"/>
          <w:sz w:val="22"/>
          <w:szCs w:val="22"/>
        </w:rPr>
        <w:t xml:space="preserve"> </w:t>
      </w:r>
      <w:r w:rsidRPr="00DB47E2">
        <w:rPr>
          <w:rFonts w:ascii="Arial" w:hAnsi="Arial" w:cs="Arial"/>
          <w:sz w:val="22"/>
          <w:szCs w:val="22"/>
        </w:rPr>
        <w:t>the original action within 60 days after the action was filed; (2) the new action is filed within 180 days after the judgment dismissing the original action is entered.</w:t>
      </w:r>
      <w:r w:rsidR="00FE39DD" w:rsidRPr="00DB47E2">
        <w:rPr>
          <w:rFonts w:ascii="Arial" w:hAnsi="Arial" w:cs="Arial"/>
          <w:sz w:val="22"/>
          <w:szCs w:val="22"/>
        </w:rPr>
        <w:t xml:space="preserve"> </w:t>
      </w:r>
    </w:p>
    <w:p w14:paraId="4E9F6C57" w14:textId="77777777" w:rsidR="00513B04" w:rsidRPr="00DB47E2" w:rsidRDefault="00513B04">
      <w:pPr>
        <w:tabs>
          <w:tab w:val="left" w:pos="-720"/>
        </w:tabs>
        <w:suppressAutoHyphens/>
        <w:jc w:val="both"/>
        <w:rPr>
          <w:rFonts w:ascii="Arial" w:hAnsi="Arial" w:cs="Arial"/>
          <w:sz w:val="22"/>
          <w:szCs w:val="22"/>
        </w:rPr>
      </w:pPr>
    </w:p>
    <w:p w14:paraId="550C31F3" w14:textId="77777777" w:rsidR="00513B04" w:rsidRPr="00DB47E2" w:rsidRDefault="00513B04">
      <w:pPr>
        <w:tabs>
          <w:tab w:val="left" w:pos="-720"/>
        </w:tabs>
        <w:suppressAutoHyphens/>
        <w:jc w:val="both"/>
        <w:rPr>
          <w:rFonts w:ascii="Arial" w:hAnsi="Arial" w:cs="Arial"/>
          <w:sz w:val="22"/>
          <w:szCs w:val="22"/>
        </w:rPr>
      </w:pPr>
      <w:r w:rsidRPr="00DB47E2">
        <w:rPr>
          <w:rFonts w:ascii="Arial" w:hAnsi="Arial" w:cs="Arial"/>
          <w:sz w:val="22"/>
          <w:szCs w:val="22"/>
        </w:rPr>
        <w:t xml:space="preserve">The following are the </w:t>
      </w:r>
      <w:proofErr w:type="gramStart"/>
      <w:r w:rsidRPr="00DB47E2">
        <w:rPr>
          <w:rFonts w:ascii="Arial" w:hAnsi="Arial" w:cs="Arial"/>
          <w:sz w:val="22"/>
          <w:szCs w:val="22"/>
          <w:u w:val="single"/>
        </w:rPr>
        <w:t>most commonly used</w:t>
      </w:r>
      <w:proofErr w:type="gramEnd"/>
      <w:r w:rsidRPr="00DB47E2">
        <w:rPr>
          <w:rFonts w:ascii="Arial" w:hAnsi="Arial" w:cs="Arial"/>
          <w:sz w:val="22"/>
          <w:szCs w:val="22"/>
        </w:rPr>
        <w:t xml:space="preserve"> statutes of limitatio</w:t>
      </w:r>
      <w:r w:rsidRPr="002716C6">
        <w:rPr>
          <w:rFonts w:ascii="Arial" w:hAnsi="Arial" w:cs="Arial"/>
          <w:sz w:val="22"/>
          <w:szCs w:val="22"/>
        </w:rPr>
        <w:t>ns</w:t>
      </w:r>
      <w:r w:rsidR="00E17A93" w:rsidRPr="002716C6">
        <w:rPr>
          <w:rFonts w:ascii="Arial" w:hAnsi="Arial" w:cs="Arial"/>
          <w:sz w:val="22"/>
          <w:szCs w:val="22"/>
        </w:rPr>
        <w:t xml:space="preserve">, </w:t>
      </w:r>
      <w:r w:rsidR="00E17A93" w:rsidRPr="003F1800">
        <w:rPr>
          <w:rFonts w:ascii="Arial" w:hAnsi="Arial" w:cs="Arial"/>
          <w:sz w:val="22"/>
          <w:szCs w:val="22"/>
        </w:rPr>
        <w:t xml:space="preserve">but </w:t>
      </w:r>
      <w:r w:rsidR="00E17A93" w:rsidRPr="003F1800">
        <w:rPr>
          <w:rFonts w:ascii="Arial" w:hAnsi="Arial" w:cs="Arial"/>
          <w:color w:val="000000"/>
          <w:sz w:val="22"/>
          <w:szCs w:val="22"/>
        </w:rPr>
        <w:t>be sure to check</w:t>
      </w:r>
      <w:r w:rsidR="0033605A" w:rsidRPr="003F1800">
        <w:rPr>
          <w:rFonts w:ascii="Arial" w:hAnsi="Arial" w:cs="Arial"/>
          <w:color w:val="000000"/>
          <w:sz w:val="22"/>
          <w:szCs w:val="22"/>
        </w:rPr>
        <w:t xml:space="preserve"> </w:t>
      </w:r>
      <w:r w:rsidR="00E17A93" w:rsidRPr="003F1800">
        <w:rPr>
          <w:rFonts w:ascii="Arial" w:hAnsi="Arial" w:cs="Arial"/>
          <w:sz w:val="22"/>
          <w:szCs w:val="22"/>
        </w:rPr>
        <w:t xml:space="preserve">Chapter 12 to make sure </w:t>
      </w:r>
      <w:proofErr w:type="gramStart"/>
      <w:r w:rsidR="00E17A93" w:rsidRPr="003F1800">
        <w:rPr>
          <w:rFonts w:ascii="Arial" w:hAnsi="Arial" w:cs="Arial"/>
          <w:sz w:val="22"/>
          <w:szCs w:val="22"/>
        </w:rPr>
        <w:t xml:space="preserve">the </w:t>
      </w:r>
      <w:r w:rsidR="009C2E29" w:rsidRPr="003F1800">
        <w:rPr>
          <w:rFonts w:ascii="Arial" w:hAnsi="Arial" w:cs="Arial"/>
          <w:sz w:val="22"/>
          <w:szCs w:val="22"/>
        </w:rPr>
        <w:t>limitation</w:t>
      </w:r>
      <w:proofErr w:type="gramEnd"/>
      <w:r w:rsidR="009C2E29" w:rsidRPr="003F1800">
        <w:rPr>
          <w:rFonts w:ascii="Arial" w:hAnsi="Arial" w:cs="Arial"/>
          <w:sz w:val="22"/>
          <w:szCs w:val="22"/>
        </w:rPr>
        <w:t xml:space="preserve"> period</w:t>
      </w:r>
      <w:r w:rsidR="00E17A93" w:rsidRPr="003F1800">
        <w:rPr>
          <w:rFonts w:ascii="Arial" w:hAnsi="Arial" w:cs="Arial"/>
          <w:sz w:val="22"/>
          <w:szCs w:val="22"/>
        </w:rPr>
        <w:t xml:space="preserve"> has not changed</w:t>
      </w:r>
      <w:r w:rsidRPr="002716C6">
        <w:rPr>
          <w:rFonts w:ascii="Arial" w:hAnsi="Arial" w:cs="Arial"/>
          <w:sz w:val="22"/>
          <w:szCs w:val="22"/>
        </w:rPr>
        <w:t>:</w:t>
      </w:r>
    </w:p>
    <w:p w14:paraId="4FE52A24" w14:textId="77777777" w:rsidR="00513B04" w:rsidRPr="00DB47E2" w:rsidRDefault="00513B04">
      <w:pPr>
        <w:tabs>
          <w:tab w:val="left" w:pos="-720"/>
        </w:tabs>
        <w:suppressAutoHyphens/>
        <w:jc w:val="both"/>
        <w:rPr>
          <w:rFonts w:ascii="Arial" w:hAnsi="Arial" w:cs="Arial"/>
          <w:sz w:val="22"/>
          <w:szCs w:val="22"/>
        </w:rPr>
      </w:pPr>
    </w:p>
    <w:p w14:paraId="258E9261" w14:textId="2BC5AD28" w:rsidR="00513B04" w:rsidRPr="00DB47E2" w:rsidRDefault="00513B04">
      <w:pPr>
        <w:tabs>
          <w:tab w:val="left" w:pos="-720"/>
          <w:tab w:val="left" w:pos="0"/>
          <w:tab w:val="left" w:pos="720"/>
          <w:tab w:val="left" w:pos="1440"/>
        </w:tabs>
        <w:suppressAutoHyphens/>
        <w:ind w:left="2160" w:hanging="2160"/>
        <w:jc w:val="both"/>
        <w:rPr>
          <w:rFonts w:ascii="Arial" w:hAnsi="Arial" w:cs="Arial"/>
          <w:sz w:val="22"/>
          <w:szCs w:val="22"/>
        </w:rPr>
      </w:pPr>
      <w:r w:rsidRPr="00DB47E2">
        <w:rPr>
          <w:rFonts w:ascii="Arial" w:hAnsi="Arial" w:cs="Arial"/>
          <w:sz w:val="22"/>
          <w:szCs w:val="22"/>
        </w:rPr>
        <w:tab/>
        <w:t>1 year</w:t>
      </w:r>
      <w:r w:rsidRPr="00DB47E2">
        <w:rPr>
          <w:rFonts w:ascii="Arial" w:hAnsi="Arial" w:cs="Arial"/>
          <w:sz w:val="22"/>
          <w:szCs w:val="22"/>
        </w:rPr>
        <w:tab/>
      </w:r>
      <w:r w:rsidRPr="00DB47E2">
        <w:rPr>
          <w:rFonts w:ascii="Arial" w:hAnsi="Arial" w:cs="Arial"/>
          <w:sz w:val="22"/>
          <w:szCs w:val="22"/>
        </w:rPr>
        <w:tab/>
        <w:t>Garnishments (1 year from delivery of writ)</w:t>
      </w:r>
      <w:r w:rsidR="00655A10" w:rsidRPr="00DB47E2">
        <w:rPr>
          <w:rFonts w:ascii="Arial" w:hAnsi="Arial" w:cs="Arial"/>
          <w:sz w:val="22"/>
          <w:szCs w:val="22"/>
        </w:rPr>
        <w:t xml:space="preserve">. Libel or slander. Rental agreements. </w:t>
      </w:r>
    </w:p>
    <w:p w14:paraId="69924AE8" w14:textId="77777777" w:rsidR="00513B04" w:rsidRPr="00DB47E2" w:rsidRDefault="00513B04">
      <w:pPr>
        <w:tabs>
          <w:tab w:val="left" w:pos="-720"/>
        </w:tabs>
        <w:suppressAutoHyphens/>
        <w:jc w:val="both"/>
        <w:rPr>
          <w:rFonts w:ascii="Arial" w:hAnsi="Arial" w:cs="Arial"/>
          <w:sz w:val="22"/>
          <w:szCs w:val="22"/>
        </w:rPr>
      </w:pPr>
    </w:p>
    <w:p w14:paraId="2C50A4E9" w14:textId="019D56F4" w:rsidR="00513B04" w:rsidRPr="00DB47E2" w:rsidRDefault="00976EB2">
      <w:pPr>
        <w:tabs>
          <w:tab w:val="left" w:pos="-720"/>
          <w:tab w:val="left" w:pos="0"/>
          <w:tab w:val="left" w:pos="720"/>
          <w:tab w:val="left" w:pos="1440"/>
        </w:tabs>
        <w:suppressAutoHyphens/>
        <w:ind w:left="2160" w:hanging="2160"/>
        <w:jc w:val="both"/>
        <w:rPr>
          <w:rFonts w:ascii="Arial" w:hAnsi="Arial" w:cs="Arial"/>
          <w:sz w:val="22"/>
          <w:szCs w:val="22"/>
        </w:rPr>
      </w:pPr>
      <w:r w:rsidRPr="00DB47E2">
        <w:rPr>
          <w:rFonts w:ascii="Arial" w:hAnsi="Arial" w:cs="Arial"/>
          <w:sz w:val="22"/>
          <w:szCs w:val="22"/>
        </w:rPr>
        <w:tab/>
        <w:t>2 years</w:t>
      </w:r>
      <w:r w:rsidRPr="00DB47E2">
        <w:rPr>
          <w:rFonts w:ascii="Arial" w:hAnsi="Arial" w:cs="Arial"/>
          <w:sz w:val="22"/>
          <w:szCs w:val="22"/>
        </w:rPr>
        <w:tab/>
        <w:t>Negligence for injury to person</w:t>
      </w:r>
      <w:r w:rsidR="00102DCD" w:rsidRPr="00DB47E2">
        <w:rPr>
          <w:rFonts w:ascii="Arial" w:hAnsi="Arial" w:cs="Arial"/>
          <w:sz w:val="22"/>
          <w:szCs w:val="22"/>
        </w:rPr>
        <w:t xml:space="preserve"> or </w:t>
      </w:r>
      <w:r w:rsidR="00E65613" w:rsidRPr="00DB47E2">
        <w:rPr>
          <w:rFonts w:ascii="Arial" w:hAnsi="Arial" w:cs="Arial"/>
          <w:sz w:val="22"/>
          <w:szCs w:val="22"/>
        </w:rPr>
        <w:t>rights of another</w:t>
      </w:r>
      <w:r w:rsidR="00102DCD" w:rsidRPr="00DB47E2">
        <w:rPr>
          <w:rFonts w:ascii="Arial" w:hAnsi="Arial" w:cs="Arial"/>
          <w:sz w:val="22"/>
          <w:szCs w:val="22"/>
        </w:rPr>
        <w:t>.</w:t>
      </w:r>
      <w:r w:rsidRPr="00DB47E2">
        <w:rPr>
          <w:rFonts w:ascii="Arial" w:hAnsi="Arial" w:cs="Arial"/>
          <w:sz w:val="22"/>
          <w:szCs w:val="22"/>
        </w:rPr>
        <w:t xml:space="preserve">  </w:t>
      </w:r>
    </w:p>
    <w:p w14:paraId="2CD35770" w14:textId="77777777" w:rsidR="00513B04" w:rsidRPr="00DB47E2" w:rsidRDefault="00513B04">
      <w:pPr>
        <w:tabs>
          <w:tab w:val="left" w:pos="-720"/>
        </w:tabs>
        <w:suppressAutoHyphens/>
        <w:jc w:val="both"/>
        <w:rPr>
          <w:rFonts w:ascii="Arial" w:hAnsi="Arial" w:cs="Arial"/>
          <w:sz w:val="22"/>
          <w:szCs w:val="22"/>
        </w:rPr>
      </w:pPr>
    </w:p>
    <w:p w14:paraId="42CE2088" w14:textId="17079312" w:rsidR="00513B04" w:rsidRPr="00DB47E2" w:rsidRDefault="00513B04">
      <w:pPr>
        <w:tabs>
          <w:tab w:val="left" w:pos="-720"/>
          <w:tab w:val="left" w:pos="0"/>
          <w:tab w:val="left" w:pos="720"/>
          <w:tab w:val="left" w:pos="1440"/>
        </w:tabs>
        <w:suppressAutoHyphens/>
        <w:ind w:left="2160" w:hanging="2160"/>
        <w:jc w:val="both"/>
        <w:rPr>
          <w:rFonts w:ascii="Arial" w:hAnsi="Arial" w:cs="Arial"/>
          <w:sz w:val="22"/>
          <w:szCs w:val="22"/>
        </w:rPr>
      </w:pPr>
      <w:r w:rsidRPr="00DB47E2">
        <w:rPr>
          <w:rFonts w:ascii="Arial" w:hAnsi="Arial" w:cs="Arial"/>
          <w:sz w:val="22"/>
          <w:szCs w:val="22"/>
        </w:rPr>
        <w:tab/>
      </w:r>
      <w:r w:rsidRPr="00DB47E2">
        <w:rPr>
          <w:rFonts w:ascii="Arial" w:hAnsi="Arial" w:cs="Arial"/>
          <w:sz w:val="22"/>
          <w:szCs w:val="22"/>
        </w:rPr>
        <w:tab/>
      </w:r>
      <w:r w:rsidRPr="00DB47E2">
        <w:rPr>
          <w:rFonts w:ascii="Arial" w:hAnsi="Arial" w:cs="Arial"/>
          <w:sz w:val="22"/>
          <w:szCs w:val="22"/>
        </w:rPr>
        <w:tab/>
      </w:r>
      <w:r w:rsidR="00953C11" w:rsidRPr="00DB47E2">
        <w:rPr>
          <w:rFonts w:ascii="Arial" w:hAnsi="Arial" w:cs="Arial"/>
          <w:sz w:val="22"/>
          <w:szCs w:val="22"/>
        </w:rPr>
        <w:t>Unless a policy provides a longer period, t</w:t>
      </w:r>
      <w:r w:rsidR="0047359A" w:rsidRPr="00DB47E2">
        <w:rPr>
          <w:rFonts w:ascii="Arial" w:hAnsi="Arial" w:cs="Arial"/>
          <w:sz w:val="22"/>
          <w:szCs w:val="22"/>
        </w:rPr>
        <w:t>he statute of limitation</w:t>
      </w:r>
      <w:r w:rsidRPr="00DB47E2">
        <w:rPr>
          <w:rFonts w:ascii="Arial" w:hAnsi="Arial" w:cs="Arial"/>
          <w:sz w:val="22"/>
          <w:szCs w:val="22"/>
        </w:rPr>
        <w:t xml:space="preserve"> for bringing a UM/UIM claim </w:t>
      </w:r>
      <w:r w:rsidR="00953C11" w:rsidRPr="00DB47E2">
        <w:rPr>
          <w:rFonts w:ascii="Arial" w:hAnsi="Arial" w:cs="Arial"/>
          <w:sz w:val="22"/>
          <w:szCs w:val="22"/>
        </w:rPr>
        <w:t>requires either that, within t</w:t>
      </w:r>
      <w:r w:rsidRPr="00DB47E2">
        <w:rPr>
          <w:rFonts w:ascii="Arial" w:hAnsi="Arial" w:cs="Arial"/>
          <w:sz w:val="22"/>
          <w:szCs w:val="22"/>
        </w:rPr>
        <w:t xml:space="preserve">wo years of </w:t>
      </w:r>
      <w:r w:rsidRPr="00DB47E2">
        <w:rPr>
          <w:rFonts w:ascii="Arial" w:hAnsi="Arial" w:cs="Arial"/>
          <w:color w:val="000000"/>
          <w:sz w:val="22"/>
          <w:szCs w:val="22"/>
        </w:rPr>
        <w:t>the date of</w:t>
      </w:r>
      <w:r w:rsidR="0033605A" w:rsidRPr="00DB47E2">
        <w:rPr>
          <w:rFonts w:ascii="Arial" w:hAnsi="Arial" w:cs="Arial"/>
          <w:color w:val="000000"/>
          <w:sz w:val="22"/>
          <w:szCs w:val="22"/>
        </w:rPr>
        <w:t xml:space="preserve"> </w:t>
      </w:r>
      <w:r w:rsidRPr="00DB47E2">
        <w:rPr>
          <w:rFonts w:ascii="Arial" w:hAnsi="Arial" w:cs="Arial"/>
          <w:sz w:val="22"/>
          <w:szCs w:val="22"/>
        </w:rPr>
        <w:t>the accident</w:t>
      </w:r>
      <w:r w:rsidR="00953C11" w:rsidRPr="00DB47E2">
        <w:rPr>
          <w:rFonts w:ascii="Arial" w:hAnsi="Arial" w:cs="Arial"/>
          <w:sz w:val="22"/>
          <w:szCs w:val="22"/>
        </w:rPr>
        <w:t xml:space="preserve">, </w:t>
      </w:r>
      <w:r w:rsidRPr="00DB47E2">
        <w:rPr>
          <w:rFonts w:ascii="Arial" w:hAnsi="Arial" w:cs="Arial"/>
          <w:sz w:val="22"/>
          <w:szCs w:val="22"/>
        </w:rPr>
        <w:t>the insured sues the insurer</w:t>
      </w:r>
      <w:r w:rsidR="00953C11" w:rsidRPr="00DB47E2">
        <w:rPr>
          <w:rFonts w:ascii="Arial" w:hAnsi="Arial" w:cs="Arial"/>
          <w:sz w:val="22"/>
          <w:szCs w:val="22"/>
        </w:rPr>
        <w:t xml:space="preserve"> or, if</w:t>
      </w:r>
      <w:r w:rsidRPr="00DB47E2">
        <w:rPr>
          <w:rFonts w:ascii="Arial" w:hAnsi="Arial" w:cs="Arial"/>
          <w:sz w:val="22"/>
          <w:szCs w:val="22"/>
        </w:rPr>
        <w:t xml:space="preserve"> </w:t>
      </w:r>
      <w:r w:rsidR="00953C11" w:rsidRPr="00DB47E2">
        <w:rPr>
          <w:rFonts w:ascii="Arial" w:hAnsi="Arial" w:cs="Arial"/>
          <w:sz w:val="22"/>
          <w:szCs w:val="22"/>
        </w:rPr>
        <w:t>the insured sues</w:t>
      </w:r>
      <w:r w:rsidRPr="00DB47E2">
        <w:rPr>
          <w:rFonts w:ascii="Arial" w:hAnsi="Arial" w:cs="Arial"/>
          <w:sz w:val="22"/>
          <w:szCs w:val="22"/>
        </w:rPr>
        <w:t xml:space="preserve"> the uninsured or underinsured tortfeasor</w:t>
      </w:r>
      <w:r w:rsidR="00953C11" w:rsidRPr="00DB47E2">
        <w:rPr>
          <w:rFonts w:ascii="Arial" w:hAnsi="Arial" w:cs="Arial"/>
          <w:sz w:val="22"/>
          <w:szCs w:val="22"/>
        </w:rPr>
        <w:t>, then</w:t>
      </w:r>
      <w:r w:rsidRPr="00DB47E2">
        <w:rPr>
          <w:rFonts w:ascii="Arial" w:hAnsi="Arial" w:cs="Arial"/>
          <w:sz w:val="22"/>
          <w:szCs w:val="22"/>
        </w:rPr>
        <w:t xml:space="preserve"> within two years of </w:t>
      </w:r>
      <w:r w:rsidRPr="00DB47E2">
        <w:rPr>
          <w:rFonts w:ascii="Arial" w:hAnsi="Arial" w:cs="Arial"/>
          <w:color w:val="000000"/>
          <w:sz w:val="22"/>
          <w:szCs w:val="22"/>
        </w:rPr>
        <w:t>the date of</w:t>
      </w:r>
      <w:r w:rsidR="0033605A" w:rsidRPr="00DB47E2">
        <w:rPr>
          <w:rFonts w:ascii="Arial" w:hAnsi="Arial" w:cs="Arial"/>
          <w:color w:val="000000"/>
          <w:sz w:val="22"/>
          <w:szCs w:val="22"/>
        </w:rPr>
        <w:t xml:space="preserve"> </w:t>
      </w:r>
      <w:r w:rsidRPr="00DB47E2">
        <w:rPr>
          <w:rFonts w:ascii="Arial" w:hAnsi="Arial" w:cs="Arial"/>
          <w:sz w:val="22"/>
          <w:szCs w:val="22"/>
        </w:rPr>
        <w:t xml:space="preserve">settlement or final judgment, the insured </w:t>
      </w:r>
      <w:r w:rsidR="00953C11" w:rsidRPr="00DB47E2">
        <w:rPr>
          <w:rFonts w:ascii="Arial" w:hAnsi="Arial" w:cs="Arial"/>
          <w:sz w:val="22"/>
          <w:szCs w:val="22"/>
        </w:rPr>
        <w:t xml:space="preserve">must </w:t>
      </w:r>
      <w:r w:rsidRPr="00DB47E2">
        <w:rPr>
          <w:rFonts w:ascii="Arial" w:hAnsi="Arial" w:cs="Arial"/>
          <w:sz w:val="22"/>
          <w:szCs w:val="22"/>
        </w:rPr>
        <w:t>formally institute</w:t>
      </w:r>
      <w:r w:rsidR="00953C11" w:rsidRPr="00DB47E2">
        <w:rPr>
          <w:rFonts w:ascii="Arial" w:hAnsi="Arial" w:cs="Arial"/>
          <w:sz w:val="22"/>
          <w:szCs w:val="22"/>
        </w:rPr>
        <w:t xml:space="preserve"> </w:t>
      </w:r>
      <w:r w:rsidRPr="00DB47E2">
        <w:rPr>
          <w:rFonts w:ascii="Arial" w:hAnsi="Arial" w:cs="Arial"/>
          <w:sz w:val="22"/>
          <w:szCs w:val="22"/>
        </w:rPr>
        <w:t>arbitration or sue the insurer.</w:t>
      </w:r>
    </w:p>
    <w:p w14:paraId="78C2C7C3" w14:textId="77777777" w:rsidR="00B30BC2" w:rsidRPr="00DB47E2" w:rsidRDefault="00B30BC2">
      <w:pPr>
        <w:tabs>
          <w:tab w:val="left" w:pos="-720"/>
          <w:tab w:val="left" w:pos="0"/>
          <w:tab w:val="left" w:pos="720"/>
          <w:tab w:val="left" w:pos="1440"/>
        </w:tabs>
        <w:suppressAutoHyphens/>
        <w:ind w:left="2160" w:hanging="2160"/>
        <w:jc w:val="both"/>
        <w:rPr>
          <w:rFonts w:ascii="Arial" w:hAnsi="Arial" w:cs="Arial"/>
          <w:sz w:val="22"/>
          <w:szCs w:val="22"/>
        </w:rPr>
      </w:pPr>
    </w:p>
    <w:p w14:paraId="6376732E" w14:textId="77777777" w:rsidR="002A2869" w:rsidRPr="00DB47E2" w:rsidRDefault="002A2869">
      <w:pPr>
        <w:tabs>
          <w:tab w:val="left" w:pos="-720"/>
          <w:tab w:val="left" w:pos="0"/>
          <w:tab w:val="left" w:pos="720"/>
          <w:tab w:val="left" w:pos="1440"/>
        </w:tabs>
        <w:suppressAutoHyphens/>
        <w:ind w:left="2160" w:hanging="2160"/>
        <w:jc w:val="both"/>
        <w:rPr>
          <w:rFonts w:ascii="Arial" w:hAnsi="Arial" w:cs="Arial"/>
          <w:sz w:val="22"/>
          <w:szCs w:val="22"/>
        </w:rPr>
      </w:pPr>
      <w:r w:rsidRPr="00DB47E2">
        <w:rPr>
          <w:rFonts w:ascii="Arial" w:hAnsi="Arial" w:cs="Arial"/>
          <w:sz w:val="22"/>
          <w:szCs w:val="22"/>
        </w:rPr>
        <w:tab/>
        <w:t>2 years</w:t>
      </w:r>
      <w:r w:rsidRPr="00DB47E2">
        <w:rPr>
          <w:rFonts w:ascii="Arial" w:hAnsi="Arial" w:cs="Arial"/>
          <w:sz w:val="22"/>
          <w:szCs w:val="22"/>
        </w:rPr>
        <w:tab/>
        <w:t>Wrongful deat</w:t>
      </w:r>
      <w:r w:rsidR="004D3DD3" w:rsidRPr="00DB47E2">
        <w:rPr>
          <w:rFonts w:ascii="Arial" w:hAnsi="Arial" w:cs="Arial"/>
          <w:sz w:val="22"/>
          <w:szCs w:val="22"/>
        </w:rPr>
        <w:t>h claim against a public body under</w:t>
      </w:r>
      <w:r w:rsidRPr="00DB47E2">
        <w:rPr>
          <w:rFonts w:ascii="Arial" w:hAnsi="Arial" w:cs="Arial"/>
          <w:sz w:val="22"/>
          <w:szCs w:val="22"/>
        </w:rPr>
        <w:t xml:space="preserve"> </w:t>
      </w:r>
      <w:r w:rsidR="004D3DD3" w:rsidRPr="00DB47E2">
        <w:rPr>
          <w:rFonts w:ascii="Arial" w:hAnsi="Arial" w:cs="Arial"/>
          <w:sz w:val="22"/>
          <w:szCs w:val="22"/>
        </w:rPr>
        <w:t>ORS 30.275(9)</w:t>
      </w:r>
      <w:r w:rsidRPr="00DB47E2">
        <w:rPr>
          <w:rFonts w:ascii="Arial" w:hAnsi="Arial" w:cs="Arial"/>
          <w:sz w:val="22"/>
          <w:szCs w:val="22"/>
        </w:rPr>
        <w:t xml:space="preserve"> (but see special notice requirements for tort claims described below).</w:t>
      </w:r>
    </w:p>
    <w:p w14:paraId="522DA8EA" w14:textId="77777777" w:rsidR="00B30BC2" w:rsidRPr="00DB47E2" w:rsidRDefault="00B30BC2">
      <w:pPr>
        <w:tabs>
          <w:tab w:val="left" w:pos="-720"/>
          <w:tab w:val="left" w:pos="0"/>
          <w:tab w:val="left" w:pos="720"/>
          <w:tab w:val="left" w:pos="1440"/>
        </w:tabs>
        <w:suppressAutoHyphens/>
        <w:ind w:left="2160" w:hanging="2160"/>
        <w:jc w:val="both"/>
        <w:rPr>
          <w:rFonts w:ascii="Arial" w:hAnsi="Arial" w:cs="Arial"/>
          <w:sz w:val="22"/>
          <w:szCs w:val="22"/>
        </w:rPr>
      </w:pPr>
    </w:p>
    <w:p w14:paraId="2E31BDFA" w14:textId="77777777" w:rsidR="00513B04" w:rsidRPr="00DB47E2" w:rsidRDefault="00513B04">
      <w:pPr>
        <w:tabs>
          <w:tab w:val="left" w:pos="-720"/>
          <w:tab w:val="left" w:pos="0"/>
          <w:tab w:val="left" w:pos="720"/>
          <w:tab w:val="left" w:pos="1440"/>
        </w:tabs>
        <w:suppressAutoHyphens/>
        <w:ind w:left="2160" w:hanging="2160"/>
        <w:jc w:val="both"/>
        <w:rPr>
          <w:rFonts w:ascii="Arial" w:hAnsi="Arial" w:cs="Arial"/>
          <w:sz w:val="22"/>
          <w:szCs w:val="22"/>
        </w:rPr>
      </w:pPr>
      <w:r w:rsidRPr="00DB47E2">
        <w:rPr>
          <w:rFonts w:ascii="Arial" w:hAnsi="Arial" w:cs="Arial"/>
          <w:sz w:val="22"/>
          <w:szCs w:val="22"/>
        </w:rPr>
        <w:tab/>
        <w:t>3 years</w:t>
      </w:r>
      <w:r w:rsidRPr="00DB47E2">
        <w:rPr>
          <w:rFonts w:ascii="Arial" w:hAnsi="Arial" w:cs="Arial"/>
          <w:sz w:val="22"/>
          <w:szCs w:val="22"/>
        </w:rPr>
        <w:tab/>
        <w:t>Wrongful death</w:t>
      </w:r>
      <w:r w:rsidR="002A2869" w:rsidRPr="00DB47E2">
        <w:rPr>
          <w:rFonts w:ascii="Arial" w:hAnsi="Arial" w:cs="Arial"/>
          <w:sz w:val="22"/>
          <w:szCs w:val="22"/>
        </w:rPr>
        <w:t xml:space="preserve"> claim against a private person or entity</w:t>
      </w:r>
      <w:r w:rsidR="00541289" w:rsidRPr="00DB47E2">
        <w:rPr>
          <w:rFonts w:ascii="Arial" w:hAnsi="Arial" w:cs="Arial"/>
          <w:sz w:val="22"/>
          <w:szCs w:val="22"/>
        </w:rPr>
        <w:t>, measured from date of death</w:t>
      </w:r>
      <w:r w:rsidR="00283773" w:rsidRPr="00DB47E2">
        <w:rPr>
          <w:rFonts w:ascii="Arial" w:hAnsi="Arial" w:cs="Arial"/>
          <w:sz w:val="22"/>
          <w:szCs w:val="22"/>
        </w:rPr>
        <w:t xml:space="preserve"> (but see special notice requirements for tort claims against dram shops, as described below).</w:t>
      </w:r>
    </w:p>
    <w:p w14:paraId="4551DF0F" w14:textId="77777777" w:rsidR="00513B04" w:rsidRPr="00DB47E2" w:rsidRDefault="00513B04">
      <w:pPr>
        <w:tabs>
          <w:tab w:val="left" w:pos="-720"/>
        </w:tabs>
        <w:suppressAutoHyphens/>
        <w:jc w:val="both"/>
        <w:rPr>
          <w:rFonts w:ascii="Arial" w:hAnsi="Arial" w:cs="Arial"/>
          <w:sz w:val="22"/>
          <w:szCs w:val="22"/>
        </w:rPr>
      </w:pPr>
    </w:p>
    <w:p w14:paraId="70E727F9" w14:textId="47293140" w:rsidR="00513B04" w:rsidRPr="00DB47E2" w:rsidRDefault="00513B04">
      <w:pPr>
        <w:tabs>
          <w:tab w:val="left" w:pos="-720"/>
          <w:tab w:val="left" w:pos="0"/>
          <w:tab w:val="left" w:pos="720"/>
          <w:tab w:val="left" w:pos="1440"/>
        </w:tabs>
        <w:suppressAutoHyphens/>
        <w:ind w:left="2160" w:hanging="2160"/>
        <w:jc w:val="both"/>
        <w:rPr>
          <w:rFonts w:ascii="Arial" w:hAnsi="Arial" w:cs="Arial"/>
          <w:sz w:val="22"/>
          <w:szCs w:val="22"/>
        </w:rPr>
      </w:pPr>
      <w:r w:rsidRPr="00DB47E2">
        <w:rPr>
          <w:rFonts w:ascii="Arial" w:hAnsi="Arial" w:cs="Arial"/>
          <w:sz w:val="22"/>
          <w:szCs w:val="22"/>
        </w:rPr>
        <w:tab/>
        <w:t>5 years</w:t>
      </w:r>
      <w:r w:rsidRPr="00DB47E2">
        <w:rPr>
          <w:rFonts w:ascii="Arial" w:hAnsi="Arial" w:cs="Arial"/>
          <w:sz w:val="22"/>
          <w:szCs w:val="22"/>
        </w:rPr>
        <w:tab/>
        <w:t>Contracts on real property (5 years from date of maturity of final payment)</w:t>
      </w:r>
      <w:r w:rsidR="003A08B7" w:rsidRPr="00DB47E2">
        <w:rPr>
          <w:rFonts w:ascii="Arial" w:hAnsi="Arial" w:cs="Arial"/>
          <w:sz w:val="22"/>
          <w:szCs w:val="22"/>
        </w:rPr>
        <w:t xml:space="preserve">.  </w:t>
      </w:r>
      <w:r w:rsidR="00697C7E" w:rsidRPr="00DB47E2">
        <w:rPr>
          <w:rFonts w:ascii="Arial" w:hAnsi="Arial" w:cs="Arial"/>
          <w:sz w:val="22"/>
          <w:szCs w:val="22"/>
        </w:rPr>
        <w:t>C</w:t>
      </w:r>
      <w:r w:rsidR="003A08B7" w:rsidRPr="00DB47E2">
        <w:rPr>
          <w:rFonts w:ascii="Arial" w:hAnsi="Arial" w:cs="Arial"/>
          <w:sz w:val="22"/>
          <w:szCs w:val="22"/>
        </w:rPr>
        <w:t xml:space="preserve">laims of harassment or discrimination based on race, color, religion, sex, sexual orientation, sexual assault, national origin, marital status, age, expunged juvenile records, military </w:t>
      </w:r>
      <w:proofErr w:type="gramStart"/>
      <w:r w:rsidR="003A08B7" w:rsidRPr="00DB47E2">
        <w:rPr>
          <w:rFonts w:ascii="Arial" w:hAnsi="Arial" w:cs="Arial"/>
          <w:sz w:val="22"/>
          <w:szCs w:val="22"/>
        </w:rPr>
        <w:t>service</w:t>
      </w:r>
      <w:proofErr w:type="gramEnd"/>
      <w:r w:rsidR="003A08B7" w:rsidRPr="00DB47E2">
        <w:rPr>
          <w:rFonts w:ascii="Arial" w:hAnsi="Arial" w:cs="Arial"/>
          <w:sz w:val="22"/>
          <w:szCs w:val="22"/>
        </w:rPr>
        <w:t xml:space="preserve"> or disability.</w:t>
      </w:r>
      <w:r w:rsidR="00697C7E" w:rsidRPr="00DB47E2">
        <w:rPr>
          <w:rFonts w:ascii="Arial" w:hAnsi="Arial" w:cs="Arial"/>
          <w:sz w:val="22"/>
          <w:szCs w:val="22"/>
        </w:rPr>
        <w:t xml:space="preserve"> </w:t>
      </w:r>
    </w:p>
    <w:p w14:paraId="6EF58061" w14:textId="77777777" w:rsidR="00513B04" w:rsidRPr="00DB47E2" w:rsidRDefault="00513B04">
      <w:pPr>
        <w:tabs>
          <w:tab w:val="left" w:pos="-720"/>
        </w:tabs>
        <w:suppressAutoHyphens/>
        <w:jc w:val="both"/>
        <w:rPr>
          <w:rFonts w:ascii="Arial" w:hAnsi="Arial" w:cs="Arial"/>
          <w:sz w:val="22"/>
          <w:szCs w:val="22"/>
        </w:rPr>
      </w:pPr>
    </w:p>
    <w:p w14:paraId="5B4AEC11" w14:textId="0F66E37B" w:rsidR="00513B04" w:rsidRPr="00DB47E2" w:rsidRDefault="00513B04" w:rsidP="0077111E">
      <w:pPr>
        <w:tabs>
          <w:tab w:val="left" w:pos="-720"/>
          <w:tab w:val="left" w:pos="0"/>
          <w:tab w:val="left" w:pos="720"/>
          <w:tab w:val="left" w:pos="1440"/>
        </w:tabs>
        <w:suppressAutoHyphens/>
        <w:ind w:left="2160" w:hanging="2160"/>
        <w:rPr>
          <w:rFonts w:ascii="Arial" w:hAnsi="Arial" w:cs="Arial"/>
          <w:i/>
          <w:iCs/>
          <w:sz w:val="22"/>
          <w:szCs w:val="22"/>
        </w:rPr>
      </w:pPr>
      <w:r w:rsidRPr="00DB47E2">
        <w:rPr>
          <w:rFonts w:ascii="Arial" w:hAnsi="Arial" w:cs="Arial"/>
          <w:sz w:val="22"/>
          <w:szCs w:val="22"/>
        </w:rPr>
        <w:tab/>
        <w:t>6 years</w:t>
      </w:r>
      <w:r w:rsidRPr="00DB47E2">
        <w:rPr>
          <w:rFonts w:ascii="Arial" w:hAnsi="Arial" w:cs="Arial"/>
          <w:sz w:val="22"/>
          <w:szCs w:val="22"/>
        </w:rPr>
        <w:tab/>
      </w:r>
      <w:r w:rsidR="00102DCD" w:rsidRPr="00DB47E2">
        <w:rPr>
          <w:rFonts w:ascii="Arial" w:hAnsi="Arial" w:cs="Arial"/>
          <w:sz w:val="22"/>
          <w:szCs w:val="22"/>
        </w:rPr>
        <w:t>M</w:t>
      </w:r>
      <w:r w:rsidR="00CD4394" w:rsidRPr="00DB47E2">
        <w:rPr>
          <w:rFonts w:ascii="Arial" w:hAnsi="Arial" w:cs="Arial"/>
          <w:sz w:val="22"/>
          <w:szCs w:val="22"/>
        </w:rPr>
        <w:t xml:space="preserve">ost contract claims. </w:t>
      </w:r>
      <w:r w:rsidR="00832BB0" w:rsidRPr="00DB47E2">
        <w:rPr>
          <w:rFonts w:ascii="Arial" w:hAnsi="Arial" w:cs="Arial"/>
          <w:sz w:val="22"/>
          <w:szCs w:val="22"/>
        </w:rPr>
        <w:t>Claims for t</w:t>
      </w:r>
      <w:r w:rsidR="00E65613" w:rsidRPr="00DB47E2">
        <w:rPr>
          <w:rFonts w:ascii="Arial" w:hAnsi="Arial" w:cs="Arial"/>
          <w:sz w:val="22"/>
          <w:szCs w:val="22"/>
        </w:rPr>
        <w:t xml:space="preserve">aking, detaining or injuring personal property. </w:t>
      </w:r>
      <w:r w:rsidR="00E75606" w:rsidRPr="00DB47E2">
        <w:rPr>
          <w:rFonts w:ascii="Arial" w:hAnsi="Arial" w:cs="Arial"/>
          <w:sz w:val="22"/>
          <w:szCs w:val="22"/>
        </w:rPr>
        <w:t xml:space="preserve"> Note: a</w:t>
      </w:r>
      <w:r w:rsidR="009D7FF0" w:rsidRPr="00DB47E2">
        <w:rPr>
          <w:rFonts w:ascii="Arial" w:hAnsi="Arial" w:cs="Arial"/>
          <w:sz w:val="22"/>
          <w:szCs w:val="22"/>
        </w:rPr>
        <w:t xml:space="preserve"> claim </w:t>
      </w:r>
      <w:r w:rsidR="00E75606" w:rsidRPr="00DB47E2">
        <w:rPr>
          <w:rFonts w:ascii="Arial" w:hAnsi="Arial" w:cs="Arial"/>
          <w:sz w:val="22"/>
          <w:szCs w:val="22"/>
        </w:rPr>
        <w:t xml:space="preserve">to recover a deficiency on the balance of a consumer auto loan may be subject to the 4-year statute of limitations provided under ORS 72.7250. </w:t>
      </w:r>
      <w:r w:rsidR="00E75606" w:rsidRPr="00DB47E2">
        <w:rPr>
          <w:rFonts w:ascii="Arial" w:hAnsi="Arial" w:cs="Arial"/>
          <w:i/>
          <w:iCs/>
          <w:sz w:val="22"/>
          <w:szCs w:val="22"/>
        </w:rPr>
        <w:t>Kaiser v. Cascade Capital, LLC,</w:t>
      </w:r>
      <w:r w:rsidR="00E75606" w:rsidRPr="00DB47E2">
        <w:rPr>
          <w:rFonts w:ascii="Arial" w:hAnsi="Arial" w:cs="Arial"/>
          <w:sz w:val="22"/>
          <w:szCs w:val="22"/>
        </w:rPr>
        <w:t>989 F3d 1127 (9th Cir 2021).</w:t>
      </w:r>
      <w:r w:rsidR="00E75606" w:rsidRPr="00DB47E2">
        <w:rPr>
          <w:rFonts w:ascii="Arial" w:hAnsi="Arial" w:cs="Arial"/>
          <w:i/>
          <w:iCs/>
          <w:sz w:val="22"/>
          <w:szCs w:val="22"/>
        </w:rPr>
        <w:t xml:space="preserve"> </w:t>
      </w:r>
    </w:p>
    <w:p w14:paraId="644F387E" w14:textId="77777777" w:rsidR="00513B04" w:rsidRPr="00DB47E2" w:rsidRDefault="00513B04">
      <w:pPr>
        <w:tabs>
          <w:tab w:val="left" w:pos="-720"/>
        </w:tabs>
        <w:suppressAutoHyphens/>
        <w:jc w:val="both"/>
        <w:rPr>
          <w:rFonts w:ascii="Arial" w:hAnsi="Arial" w:cs="Arial"/>
          <w:sz w:val="22"/>
          <w:szCs w:val="22"/>
        </w:rPr>
      </w:pPr>
    </w:p>
    <w:p w14:paraId="4E371E54" w14:textId="77777777" w:rsidR="00513B04" w:rsidRPr="00DB47E2" w:rsidRDefault="00513B04" w:rsidP="00ED1136">
      <w:pPr>
        <w:tabs>
          <w:tab w:val="left" w:pos="-720"/>
          <w:tab w:val="left" w:pos="0"/>
          <w:tab w:val="left" w:pos="720"/>
          <w:tab w:val="left" w:pos="1440"/>
        </w:tabs>
        <w:suppressAutoHyphens/>
        <w:ind w:left="2160" w:hanging="2160"/>
        <w:rPr>
          <w:rFonts w:ascii="Arial" w:hAnsi="Arial" w:cs="Arial"/>
          <w:sz w:val="22"/>
          <w:szCs w:val="22"/>
        </w:rPr>
      </w:pPr>
      <w:r w:rsidRPr="00DB47E2">
        <w:rPr>
          <w:rFonts w:ascii="Arial" w:hAnsi="Arial" w:cs="Arial"/>
          <w:sz w:val="22"/>
          <w:szCs w:val="22"/>
        </w:rPr>
        <w:tab/>
      </w:r>
      <w:r w:rsidRPr="00DB47E2">
        <w:rPr>
          <w:rFonts w:ascii="Arial" w:hAnsi="Arial" w:cs="Arial"/>
          <w:sz w:val="22"/>
          <w:szCs w:val="22"/>
        </w:rPr>
        <w:fldChar w:fldCharType="begin"/>
      </w:r>
      <w:r w:rsidRPr="00DB47E2">
        <w:rPr>
          <w:rFonts w:ascii="Arial" w:hAnsi="Arial" w:cs="Arial"/>
          <w:sz w:val="22"/>
          <w:szCs w:val="22"/>
        </w:rPr>
        <w:instrText>ADVANCE \L 7.90</w:instrText>
      </w:r>
      <w:r w:rsidRPr="00DB47E2">
        <w:rPr>
          <w:rFonts w:ascii="Arial" w:hAnsi="Arial" w:cs="Arial"/>
          <w:sz w:val="22"/>
          <w:szCs w:val="22"/>
        </w:rPr>
        <w:fldChar w:fldCharType="end"/>
      </w:r>
      <w:r w:rsidRPr="00DB47E2">
        <w:rPr>
          <w:rFonts w:ascii="Arial" w:hAnsi="Arial" w:cs="Arial"/>
          <w:sz w:val="22"/>
          <w:szCs w:val="22"/>
        </w:rPr>
        <w:t>10 years</w:t>
      </w:r>
      <w:r w:rsidRPr="00DB47E2">
        <w:rPr>
          <w:rFonts w:ascii="Arial" w:hAnsi="Arial" w:cs="Arial"/>
          <w:sz w:val="22"/>
          <w:szCs w:val="22"/>
        </w:rPr>
        <w:tab/>
      </w:r>
      <w:r w:rsidRPr="00DB47E2">
        <w:rPr>
          <w:rFonts w:ascii="Arial" w:hAnsi="Arial" w:cs="Arial"/>
          <w:sz w:val="22"/>
          <w:szCs w:val="22"/>
        </w:rPr>
        <w:tab/>
      </w:r>
      <w:r w:rsidR="0033605A" w:rsidRPr="00DB47E2">
        <w:rPr>
          <w:rFonts w:ascii="Arial" w:hAnsi="Arial" w:cs="Arial"/>
          <w:sz w:val="22"/>
          <w:szCs w:val="22"/>
        </w:rPr>
        <w:t xml:space="preserve">Action to recover </w:t>
      </w:r>
      <w:r w:rsidR="00153C3E" w:rsidRPr="00DB47E2">
        <w:rPr>
          <w:rFonts w:ascii="Arial" w:hAnsi="Arial" w:cs="Arial"/>
          <w:sz w:val="22"/>
          <w:szCs w:val="22"/>
        </w:rPr>
        <w:t xml:space="preserve">real property </w:t>
      </w:r>
      <w:r w:rsidR="00ED1136" w:rsidRPr="00DB47E2">
        <w:rPr>
          <w:rFonts w:ascii="Arial" w:hAnsi="Arial" w:cs="Arial"/>
          <w:sz w:val="22"/>
          <w:szCs w:val="22"/>
        </w:rPr>
        <w:t xml:space="preserve">or for possession of real property </w:t>
      </w:r>
      <w:r w:rsidRPr="00DB47E2">
        <w:rPr>
          <w:rFonts w:ascii="Arial" w:hAnsi="Arial" w:cs="Arial"/>
          <w:sz w:val="22"/>
          <w:szCs w:val="22"/>
        </w:rPr>
        <w:t>(adverse possession)</w:t>
      </w:r>
      <w:r w:rsidR="00DC7E5D" w:rsidRPr="00DB47E2">
        <w:rPr>
          <w:rFonts w:ascii="Arial" w:hAnsi="Arial" w:cs="Arial"/>
          <w:sz w:val="22"/>
          <w:szCs w:val="22"/>
        </w:rPr>
        <w:t>.</w:t>
      </w:r>
      <w:r w:rsidR="00E621AD" w:rsidRPr="00DB47E2">
        <w:rPr>
          <w:rFonts w:ascii="Arial" w:hAnsi="Arial" w:cs="Arial"/>
          <w:sz w:val="22"/>
          <w:szCs w:val="22"/>
        </w:rPr>
        <w:t xml:space="preserve">  Action upon a judgment.  </w:t>
      </w:r>
      <w:r w:rsidR="00DC7E5D" w:rsidRPr="00DB47E2">
        <w:rPr>
          <w:rFonts w:ascii="Arial" w:hAnsi="Arial" w:cs="Arial"/>
          <w:sz w:val="22"/>
          <w:szCs w:val="22"/>
        </w:rPr>
        <w:t xml:space="preserve">   </w:t>
      </w:r>
    </w:p>
    <w:p w14:paraId="33934D37" w14:textId="77777777" w:rsidR="00513B04" w:rsidRPr="00DB47E2" w:rsidRDefault="00513B04">
      <w:pPr>
        <w:tabs>
          <w:tab w:val="left" w:pos="-720"/>
        </w:tabs>
        <w:suppressAutoHyphens/>
        <w:jc w:val="both"/>
        <w:rPr>
          <w:rFonts w:ascii="Arial" w:hAnsi="Arial" w:cs="Arial"/>
          <w:sz w:val="22"/>
          <w:szCs w:val="22"/>
        </w:rPr>
      </w:pPr>
    </w:p>
    <w:p w14:paraId="35060282" w14:textId="087BEC4E" w:rsidR="00513B04" w:rsidRPr="00DB47E2" w:rsidRDefault="00513B04">
      <w:pPr>
        <w:tabs>
          <w:tab w:val="left" w:pos="-720"/>
          <w:tab w:val="left" w:pos="0"/>
          <w:tab w:val="left" w:pos="720"/>
          <w:tab w:val="left" w:pos="1440"/>
        </w:tabs>
        <w:suppressAutoHyphens/>
        <w:ind w:left="2160" w:hanging="2160"/>
        <w:jc w:val="both"/>
        <w:rPr>
          <w:rFonts w:ascii="Arial" w:hAnsi="Arial" w:cs="Arial"/>
          <w:sz w:val="22"/>
          <w:szCs w:val="22"/>
        </w:rPr>
      </w:pPr>
      <w:r w:rsidRPr="00DB47E2">
        <w:rPr>
          <w:rFonts w:ascii="Arial" w:hAnsi="Arial" w:cs="Arial"/>
          <w:sz w:val="22"/>
          <w:szCs w:val="22"/>
        </w:rPr>
        <w:t>180 day notice</w:t>
      </w:r>
      <w:r w:rsidRPr="00DB47E2">
        <w:rPr>
          <w:rFonts w:ascii="Arial" w:hAnsi="Arial" w:cs="Arial"/>
          <w:sz w:val="22"/>
          <w:szCs w:val="22"/>
        </w:rPr>
        <w:tab/>
      </w:r>
      <w:r w:rsidR="0047359A" w:rsidRPr="00DB47E2">
        <w:rPr>
          <w:rFonts w:ascii="Arial" w:hAnsi="Arial" w:cs="Arial"/>
          <w:sz w:val="22"/>
          <w:szCs w:val="22"/>
        </w:rPr>
        <w:tab/>
      </w:r>
      <w:r w:rsidR="0033605A" w:rsidRPr="00DB47E2">
        <w:rPr>
          <w:rFonts w:ascii="Arial" w:hAnsi="Arial" w:cs="Arial"/>
          <w:b/>
          <w:sz w:val="22"/>
          <w:szCs w:val="22"/>
        </w:rPr>
        <w:t>Tort Claims</w:t>
      </w:r>
      <w:r w:rsidRPr="00DB47E2">
        <w:rPr>
          <w:rFonts w:ascii="Arial" w:hAnsi="Arial" w:cs="Arial"/>
          <w:sz w:val="22"/>
          <w:szCs w:val="22"/>
        </w:rPr>
        <w:t xml:space="preserve"> - All public bodies, including state, local, and intergovernmental agencies, school districts, some hospitals, </w:t>
      </w:r>
      <w:proofErr w:type="gramStart"/>
      <w:r w:rsidRPr="00DB47E2">
        <w:rPr>
          <w:rFonts w:ascii="Arial" w:hAnsi="Arial" w:cs="Arial"/>
          <w:sz w:val="22"/>
          <w:szCs w:val="22"/>
        </w:rPr>
        <w:t>individuals</w:t>
      </w:r>
      <w:proofErr w:type="gramEnd"/>
      <w:r w:rsidRPr="00DB47E2">
        <w:rPr>
          <w:rFonts w:ascii="Arial" w:hAnsi="Arial" w:cs="Arial"/>
          <w:sz w:val="22"/>
          <w:szCs w:val="22"/>
        </w:rPr>
        <w:t xml:space="preserve"> and entities </w:t>
      </w:r>
      <w:r w:rsidRPr="00DB47E2">
        <w:rPr>
          <w:rFonts w:ascii="Arial" w:hAnsi="Arial" w:cs="Arial"/>
          <w:color w:val="000000"/>
          <w:sz w:val="22"/>
          <w:szCs w:val="22"/>
        </w:rPr>
        <w:t>listed</w:t>
      </w:r>
      <w:r w:rsidR="0033605A" w:rsidRPr="00DB47E2">
        <w:rPr>
          <w:rFonts w:ascii="Arial" w:hAnsi="Arial" w:cs="Arial"/>
          <w:color w:val="000000"/>
          <w:sz w:val="22"/>
          <w:szCs w:val="22"/>
        </w:rPr>
        <w:t xml:space="preserve"> </w:t>
      </w:r>
      <w:r w:rsidRPr="00DB47E2">
        <w:rPr>
          <w:rFonts w:ascii="Arial" w:hAnsi="Arial" w:cs="Arial"/>
          <w:sz w:val="22"/>
          <w:szCs w:val="22"/>
        </w:rPr>
        <w:t xml:space="preserve">in ORS 30.260-30.300, must </w:t>
      </w:r>
      <w:proofErr w:type="gramStart"/>
      <w:r w:rsidRPr="00DB47E2">
        <w:rPr>
          <w:rFonts w:ascii="Arial" w:hAnsi="Arial" w:cs="Arial"/>
          <w:sz w:val="22"/>
          <w:szCs w:val="22"/>
        </w:rPr>
        <w:t>be given</w:t>
      </w:r>
      <w:proofErr w:type="gramEnd"/>
      <w:r w:rsidRPr="00DB47E2">
        <w:rPr>
          <w:rFonts w:ascii="Arial" w:hAnsi="Arial" w:cs="Arial"/>
          <w:sz w:val="22"/>
          <w:szCs w:val="22"/>
        </w:rPr>
        <w:t xml:space="preserve"> proper notice of a claim, in writing, within 180 days of </w:t>
      </w:r>
      <w:r w:rsidRPr="00DB47E2">
        <w:rPr>
          <w:rFonts w:ascii="Arial" w:hAnsi="Arial" w:cs="Arial"/>
          <w:color w:val="000000"/>
          <w:sz w:val="22"/>
          <w:szCs w:val="22"/>
        </w:rPr>
        <w:t>the date of</w:t>
      </w:r>
      <w:r w:rsidR="0033605A" w:rsidRPr="00DB47E2">
        <w:rPr>
          <w:rFonts w:ascii="Arial" w:hAnsi="Arial" w:cs="Arial"/>
          <w:color w:val="000000"/>
          <w:sz w:val="22"/>
          <w:szCs w:val="22"/>
        </w:rPr>
        <w:t xml:space="preserve"> </w:t>
      </w:r>
      <w:r w:rsidRPr="00DB47E2">
        <w:rPr>
          <w:rFonts w:ascii="Arial" w:hAnsi="Arial" w:cs="Arial"/>
          <w:sz w:val="22"/>
          <w:szCs w:val="22"/>
        </w:rPr>
        <w:t xml:space="preserve">the occurrence.  You may exclude the first 90 days if the injured party </w:t>
      </w:r>
      <w:r w:rsidR="0033605A" w:rsidRPr="00DB47E2">
        <w:rPr>
          <w:rFonts w:ascii="Arial" w:hAnsi="Arial" w:cs="Arial"/>
          <w:sz w:val="22"/>
          <w:szCs w:val="22"/>
        </w:rPr>
        <w:t xml:space="preserve">cannot </w:t>
      </w:r>
      <w:r w:rsidRPr="00DB47E2">
        <w:rPr>
          <w:rFonts w:ascii="Arial" w:hAnsi="Arial" w:cs="Arial"/>
          <w:sz w:val="22"/>
          <w:szCs w:val="22"/>
        </w:rPr>
        <w:t>give notice because of the injury or because of minority or other incapacity.  In a wrongful death claim, the personal representative has one year to give proper notice.</w:t>
      </w:r>
      <w:r w:rsidR="00E4740D" w:rsidRPr="00DB47E2">
        <w:rPr>
          <w:rFonts w:ascii="Arial" w:hAnsi="Arial" w:cs="Arial"/>
          <w:i/>
          <w:sz w:val="22"/>
          <w:szCs w:val="22"/>
        </w:rPr>
        <w:t xml:space="preserve"> </w:t>
      </w:r>
      <w:r w:rsidR="00E4740D" w:rsidRPr="00DB47E2">
        <w:rPr>
          <w:rFonts w:ascii="Arial" w:hAnsi="Arial" w:cs="Arial"/>
          <w:sz w:val="22"/>
          <w:szCs w:val="22"/>
        </w:rPr>
        <w:t>ORS 30.275.</w:t>
      </w:r>
    </w:p>
    <w:p w14:paraId="429B12AA" w14:textId="77777777" w:rsidR="00513B04" w:rsidRPr="00DB47E2" w:rsidRDefault="00513B04">
      <w:pPr>
        <w:tabs>
          <w:tab w:val="left" w:pos="-720"/>
        </w:tabs>
        <w:suppressAutoHyphens/>
        <w:jc w:val="both"/>
        <w:rPr>
          <w:rFonts w:ascii="Arial" w:hAnsi="Arial" w:cs="Arial"/>
          <w:sz w:val="22"/>
          <w:szCs w:val="22"/>
        </w:rPr>
      </w:pPr>
    </w:p>
    <w:p w14:paraId="5227CAA4" w14:textId="77777777" w:rsidR="00513B04" w:rsidRPr="00DB47E2" w:rsidRDefault="00513B04">
      <w:pPr>
        <w:tabs>
          <w:tab w:val="left" w:pos="-720"/>
          <w:tab w:val="left" w:pos="0"/>
          <w:tab w:val="left" w:pos="720"/>
          <w:tab w:val="left" w:pos="1440"/>
        </w:tabs>
        <w:suppressAutoHyphens/>
        <w:ind w:left="2160" w:hanging="2160"/>
        <w:jc w:val="both"/>
        <w:rPr>
          <w:rFonts w:ascii="Arial" w:hAnsi="Arial" w:cs="Arial"/>
          <w:sz w:val="22"/>
          <w:szCs w:val="22"/>
        </w:rPr>
      </w:pPr>
      <w:r w:rsidRPr="00DB47E2">
        <w:rPr>
          <w:rFonts w:ascii="Arial" w:hAnsi="Arial" w:cs="Arial"/>
          <w:sz w:val="22"/>
          <w:szCs w:val="22"/>
        </w:rPr>
        <w:tab/>
      </w:r>
      <w:r w:rsidRPr="00DB47E2">
        <w:rPr>
          <w:rFonts w:ascii="Arial" w:hAnsi="Arial" w:cs="Arial"/>
          <w:sz w:val="22"/>
          <w:szCs w:val="22"/>
        </w:rPr>
        <w:tab/>
      </w:r>
      <w:r w:rsidRPr="00DB47E2">
        <w:rPr>
          <w:rFonts w:ascii="Arial" w:hAnsi="Arial" w:cs="Arial"/>
          <w:sz w:val="22"/>
          <w:szCs w:val="22"/>
        </w:rPr>
        <w:tab/>
      </w:r>
      <w:r w:rsidR="0033605A" w:rsidRPr="00DB47E2">
        <w:rPr>
          <w:rFonts w:ascii="Arial" w:hAnsi="Arial" w:cs="Arial"/>
          <w:b/>
          <w:sz w:val="22"/>
          <w:szCs w:val="22"/>
        </w:rPr>
        <w:t>Dram Shop</w:t>
      </w:r>
      <w:r w:rsidRPr="00DB47E2">
        <w:rPr>
          <w:rFonts w:ascii="Arial" w:hAnsi="Arial" w:cs="Arial"/>
          <w:sz w:val="22"/>
          <w:szCs w:val="22"/>
        </w:rPr>
        <w:t xml:space="preserve"> - The person asserting the claim to give a claim notice to a licensee, permittee or social host before a personal injury claim or wrongful death claim can be commenced.  For a personal injury claim, notice must be given within 180 days after injury occurs, or within 180 days after the discovery of a claim, whichever is later.  For a wrongful death claim, notice must be given within one year after death, or within one year after discovery of the claim by the person asserting the claim, whichever is later.  The claim period for personal injury and wrongful death claims is tolled when the claimant is: (1) under 18 </w:t>
      </w:r>
      <w:r w:rsidRPr="00DB47E2">
        <w:rPr>
          <w:rFonts w:ascii="Arial" w:hAnsi="Arial" w:cs="Arial"/>
          <w:color w:val="000000"/>
          <w:sz w:val="22"/>
          <w:szCs w:val="22"/>
        </w:rPr>
        <w:t>years of age</w:t>
      </w:r>
      <w:r w:rsidRPr="00DB47E2">
        <w:rPr>
          <w:rFonts w:ascii="Arial" w:hAnsi="Arial" w:cs="Arial"/>
          <w:sz w:val="22"/>
          <w:szCs w:val="22"/>
        </w:rPr>
        <w:t xml:space="preserve">; (2) unable to give notice </w:t>
      </w:r>
      <w:r w:rsidR="0033605A" w:rsidRPr="00DB47E2">
        <w:rPr>
          <w:rFonts w:ascii="Arial" w:hAnsi="Arial" w:cs="Arial"/>
          <w:sz w:val="22"/>
          <w:szCs w:val="22"/>
        </w:rPr>
        <w:t xml:space="preserve">from </w:t>
      </w:r>
      <w:r w:rsidRPr="00DB47E2">
        <w:rPr>
          <w:rFonts w:ascii="Arial" w:hAnsi="Arial" w:cs="Arial"/>
          <w:sz w:val="22"/>
          <w:szCs w:val="22"/>
        </w:rPr>
        <w:t>injury, financial incapability or incapacity; or (3) unable to determine the tortfeasor is liable because that person asserts a right against self-incrimination and cannot be compelled to reveal the identity of the tortfeasor or the facts establishing liability.</w:t>
      </w:r>
      <w:r w:rsidR="00F838F7" w:rsidRPr="00DB47E2">
        <w:rPr>
          <w:rFonts w:ascii="Arial" w:hAnsi="Arial" w:cs="Arial"/>
          <w:sz w:val="22"/>
          <w:szCs w:val="22"/>
        </w:rPr>
        <w:t xml:space="preserve"> ORS 471.565. </w:t>
      </w:r>
    </w:p>
    <w:p w14:paraId="5B95C8F9" w14:textId="77777777" w:rsidR="00513B04" w:rsidRPr="00DB47E2" w:rsidRDefault="00513B04">
      <w:pPr>
        <w:tabs>
          <w:tab w:val="left" w:pos="-720"/>
          <w:tab w:val="left" w:pos="0"/>
          <w:tab w:val="left" w:pos="720"/>
          <w:tab w:val="left" w:pos="1440"/>
        </w:tabs>
        <w:suppressAutoHyphens/>
        <w:ind w:left="2160" w:hanging="2160"/>
        <w:jc w:val="both"/>
        <w:rPr>
          <w:rFonts w:ascii="Arial" w:hAnsi="Arial" w:cs="Arial"/>
          <w:b/>
          <w:sz w:val="22"/>
          <w:szCs w:val="22"/>
        </w:rPr>
      </w:pPr>
    </w:p>
    <w:p w14:paraId="1C4BD8AB" w14:textId="41122B16" w:rsidR="00513B04" w:rsidRPr="00DB47E2" w:rsidRDefault="0033605A">
      <w:pPr>
        <w:tabs>
          <w:tab w:val="left" w:pos="-720"/>
          <w:tab w:val="left" w:pos="0"/>
        </w:tabs>
        <w:suppressAutoHyphens/>
        <w:jc w:val="both"/>
        <w:rPr>
          <w:rFonts w:ascii="Arial" w:hAnsi="Arial" w:cs="Arial"/>
          <w:sz w:val="22"/>
          <w:szCs w:val="22"/>
        </w:rPr>
      </w:pPr>
      <w:r w:rsidRPr="003F1800">
        <w:rPr>
          <w:rFonts w:ascii="Arial" w:hAnsi="Arial" w:cs="Arial"/>
          <w:b/>
          <w:sz w:val="22"/>
          <w:szCs w:val="22"/>
        </w:rPr>
        <w:t>Product Liability Civil Actions:</w:t>
      </w:r>
      <w:r w:rsidR="00513B04" w:rsidRPr="00DB47E2">
        <w:rPr>
          <w:rFonts w:ascii="Arial" w:hAnsi="Arial" w:cs="Arial"/>
          <w:sz w:val="22"/>
          <w:szCs w:val="22"/>
        </w:rPr>
        <w:t xml:space="preserve"> </w:t>
      </w:r>
      <w:r w:rsidRPr="00DB47E2">
        <w:rPr>
          <w:rFonts w:ascii="Arial" w:hAnsi="Arial" w:cs="Arial"/>
          <w:sz w:val="22"/>
          <w:szCs w:val="22"/>
        </w:rPr>
        <w:t xml:space="preserve"> </w:t>
      </w:r>
      <w:r w:rsidR="00513B04" w:rsidRPr="00DB47E2">
        <w:rPr>
          <w:rFonts w:ascii="Arial" w:hAnsi="Arial" w:cs="Arial"/>
          <w:sz w:val="22"/>
          <w:szCs w:val="22"/>
        </w:rPr>
        <w:t xml:space="preserve">ORS 30.905 (dealing with product liability civil actions) </w:t>
      </w:r>
      <w:r w:rsidR="00953C11" w:rsidRPr="00DB47E2">
        <w:rPr>
          <w:rFonts w:ascii="Arial" w:hAnsi="Arial" w:cs="Arial"/>
          <w:sz w:val="22"/>
          <w:szCs w:val="22"/>
        </w:rPr>
        <w:t xml:space="preserve">has </w:t>
      </w:r>
      <w:r w:rsidR="00513B04" w:rsidRPr="00DB47E2">
        <w:rPr>
          <w:rFonts w:ascii="Arial" w:hAnsi="Arial" w:cs="Arial"/>
          <w:sz w:val="22"/>
          <w:szCs w:val="22"/>
        </w:rPr>
        <w:t xml:space="preserve">a “discovery rule” </w:t>
      </w:r>
      <w:r w:rsidR="00953C11" w:rsidRPr="00DB47E2">
        <w:rPr>
          <w:rFonts w:ascii="Arial" w:hAnsi="Arial" w:cs="Arial"/>
          <w:sz w:val="22"/>
          <w:szCs w:val="22"/>
        </w:rPr>
        <w:t>a</w:t>
      </w:r>
      <w:r w:rsidR="00513B04" w:rsidRPr="00DB47E2">
        <w:rPr>
          <w:rFonts w:ascii="Arial" w:hAnsi="Arial" w:cs="Arial"/>
          <w:sz w:val="22"/>
          <w:szCs w:val="22"/>
        </w:rPr>
        <w:t xml:space="preserve">nd </w:t>
      </w:r>
      <w:r w:rsidR="00D03387" w:rsidRPr="00DB47E2">
        <w:rPr>
          <w:rFonts w:ascii="Arial" w:hAnsi="Arial" w:cs="Arial"/>
          <w:sz w:val="22"/>
          <w:szCs w:val="22"/>
        </w:rPr>
        <w:t xml:space="preserve">requires commencement of an action 2 years after injury to person or property. </w:t>
      </w:r>
      <w:r w:rsidR="00513B04" w:rsidRPr="00DB47E2">
        <w:rPr>
          <w:rFonts w:ascii="Arial" w:hAnsi="Arial" w:cs="Arial"/>
          <w:sz w:val="22"/>
          <w:szCs w:val="22"/>
        </w:rPr>
        <w:t xml:space="preserve"> </w:t>
      </w:r>
      <w:r w:rsidR="00D03387" w:rsidRPr="00DB47E2">
        <w:rPr>
          <w:rFonts w:ascii="Arial" w:hAnsi="Arial" w:cs="Arial"/>
          <w:sz w:val="22"/>
          <w:szCs w:val="22"/>
        </w:rPr>
        <w:t>I</w:t>
      </w:r>
      <w:r w:rsidRPr="00DB47E2">
        <w:rPr>
          <w:rFonts w:ascii="Arial" w:hAnsi="Arial" w:cs="Arial"/>
          <w:sz w:val="22"/>
          <w:szCs w:val="22"/>
        </w:rPr>
        <w:t>f death occurs</w:t>
      </w:r>
      <w:r w:rsidR="00513B04" w:rsidRPr="00DB47E2">
        <w:rPr>
          <w:rFonts w:ascii="Arial" w:hAnsi="Arial" w:cs="Arial"/>
          <w:sz w:val="22"/>
          <w:szCs w:val="22"/>
        </w:rPr>
        <w:t xml:space="preserve">, such actions must be commenced </w:t>
      </w:r>
      <w:r w:rsidR="00116B0C" w:rsidRPr="00DB47E2">
        <w:rPr>
          <w:rFonts w:ascii="Arial" w:hAnsi="Arial" w:cs="Arial"/>
          <w:sz w:val="22"/>
          <w:szCs w:val="22"/>
        </w:rPr>
        <w:t>before</w:t>
      </w:r>
      <w:r w:rsidR="00513B04" w:rsidRPr="00DB47E2">
        <w:rPr>
          <w:rFonts w:ascii="Arial" w:hAnsi="Arial" w:cs="Arial"/>
          <w:sz w:val="22"/>
          <w:szCs w:val="22"/>
        </w:rPr>
        <w:t xml:space="preserve"> the earlier of (1) 3 years </w:t>
      </w:r>
      <w:r w:rsidR="00116B0C" w:rsidRPr="00DB47E2">
        <w:rPr>
          <w:rFonts w:ascii="Arial" w:hAnsi="Arial" w:cs="Arial"/>
          <w:sz w:val="22"/>
          <w:szCs w:val="22"/>
        </w:rPr>
        <w:t xml:space="preserve">after </w:t>
      </w:r>
      <w:r w:rsidR="00116B0C" w:rsidRPr="00DB47E2">
        <w:rPr>
          <w:rFonts w:ascii="Arial" w:hAnsi="Arial" w:cs="Arial"/>
          <w:color w:val="000000"/>
          <w:sz w:val="22"/>
          <w:szCs w:val="22"/>
        </w:rPr>
        <w:t xml:space="preserve">the </w:t>
      </w:r>
      <w:r w:rsidR="00513B04" w:rsidRPr="00DB47E2">
        <w:rPr>
          <w:rFonts w:ascii="Arial" w:hAnsi="Arial" w:cs="Arial"/>
          <w:color w:val="000000"/>
          <w:sz w:val="22"/>
          <w:szCs w:val="22"/>
        </w:rPr>
        <w:t>date of</w:t>
      </w:r>
      <w:r w:rsidRPr="00DB47E2">
        <w:rPr>
          <w:rFonts w:ascii="Arial" w:hAnsi="Arial" w:cs="Arial"/>
          <w:color w:val="000000"/>
          <w:sz w:val="22"/>
          <w:szCs w:val="22"/>
        </w:rPr>
        <w:t xml:space="preserve"> </w:t>
      </w:r>
      <w:r w:rsidR="00513B04" w:rsidRPr="00DB47E2">
        <w:rPr>
          <w:rFonts w:ascii="Arial" w:hAnsi="Arial" w:cs="Arial"/>
          <w:sz w:val="22"/>
          <w:szCs w:val="22"/>
        </w:rPr>
        <w:t>death; (2) 10 years after the product was first purchased for use or consumption</w:t>
      </w:r>
      <w:r w:rsidR="00116B0C" w:rsidRPr="00DB47E2">
        <w:rPr>
          <w:rFonts w:ascii="Arial" w:hAnsi="Arial" w:cs="Arial"/>
          <w:sz w:val="22"/>
          <w:szCs w:val="22"/>
        </w:rPr>
        <w:t xml:space="preserve">; or (3) the expiration of any statute of repose for an equivalent civil action in the state where the </w:t>
      </w:r>
      <w:r w:rsidR="00116B0C" w:rsidRPr="00DB47E2">
        <w:rPr>
          <w:rFonts w:ascii="Arial" w:hAnsi="Arial" w:cs="Arial"/>
          <w:sz w:val="22"/>
          <w:szCs w:val="22"/>
        </w:rPr>
        <w:lastRenderedPageBreak/>
        <w:t>product was manufactured, or, if manufactured in a foreign country, an equivalent civil action in the state where the product was imported</w:t>
      </w:r>
      <w:r w:rsidR="00513B04" w:rsidRPr="00DB47E2">
        <w:rPr>
          <w:rFonts w:ascii="Arial" w:hAnsi="Arial" w:cs="Arial"/>
          <w:sz w:val="22"/>
          <w:szCs w:val="22"/>
        </w:rPr>
        <w:t xml:space="preserve">.  </w:t>
      </w:r>
    </w:p>
    <w:p w14:paraId="24C3D44A" w14:textId="77777777" w:rsidR="00391C2C" w:rsidRPr="00DB47E2" w:rsidRDefault="00391C2C">
      <w:pPr>
        <w:tabs>
          <w:tab w:val="left" w:pos="-720"/>
          <w:tab w:val="left" w:pos="0"/>
        </w:tabs>
        <w:suppressAutoHyphens/>
        <w:jc w:val="both"/>
        <w:rPr>
          <w:rFonts w:ascii="Arial" w:hAnsi="Arial" w:cs="Arial"/>
          <w:sz w:val="22"/>
          <w:szCs w:val="22"/>
        </w:rPr>
      </w:pPr>
    </w:p>
    <w:p w14:paraId="07B3EF41" w14:textId="10561514" w:rsidR="00391C2C" w:rsidRPr="00DB47E2" w:rsidRDefault="0033605A">
      <w:pPr>
        <w:tabs>
          <w:tab w:val="left" w:pos="-720"/>
          <w:tab w:val="left" w:pos="0"/>
        </w:tabs>
        <w:suppressAutoHyphens/>
        <w:jc w:val="both"/>
        <w:rPr>
          <w:rFonts w:ascii="Arial" w:hAnsi="Arial" w:cs="Arial"/>
          <w:sz w:val="22"/>
          <w:szCs w:val="22"/>
        </w:rPr>
      </w:pPr>
      <w:r w:rsidRPr="00203053">
        <w:rPr>
          <w:rFonts w:ascii="Arial" w:hAnsi="Arial" w:cs="Arial"/>
          <w:b/>
          <w:sz w:val="22"/>
          <w:szCs w:val="22"/>
        </w:rPr>
        <w:t>Construction Defect Claims:</w:t>
      </w:r>
      <w:r w:rsidRPr="00DB47E2">
        <w:rPr>
          <w:rFonts w:ascii="Arial" w:hAnsi="Arial" w:cs="Arial"/>
          <w:b/>
          <w:sz w:val="22"/>
          <w:szCs w:val="22"/>
        </w:rPr>
        <w:t xml:space="preserve"> </w:t>
      </w:r>
      <w:r w:rsidR="00391C2C" w:rsidRPr="00DB47E2">
        <w:rPr>
          <w:rFonts w:ascii="Arial" w:hAnsi="Arial" w:cs="Arial"/>
          <w:sz w:val="22"/>
          <w:szCs w:val="22"/>
        </w:rPr>
        <w:t>ORS 12.135 describes the limitations and repose periods for actions arising from the person having performed the construction, alteration or repair of a</w:t>
      </w:r>
      <w:r w:rsidR="00361F42" w:rsidRPr="00DB47E2">
        <w:rPr>
          <w:rFonts w:ascii="Arial" w:hAnsi="Arial" w:cs="Arial"/>
          <w:sz w:val="22"/>
          <w:szCs w:val="22"/>
        </w:rPr>
        <w:t xml:space="preserve">ny improvement to real property, the supervision or inspection thereof, or having furnished design, planning, surveying, </w:t>
      </w:r>
      <w:r w:rsidR="006D4FB0" w:rsidRPr="00DB47E2">
        <w:rPr>
          <w:rFonts w:ascii="Arial" w:hAnsi="Arial" w:cs="Arial"/>
          <w:sz w:val="22"/>
          <w:szCs w:val="22"/>
        </w:rPr>
        <w:t>architectural</w:t>
      </w:r>
      <w:r w:rsidR="00361F42" w:rsidRPr="00DB47E2">
        <w:rPr>
          <w:rFonts w:ascii="Arial" w:hAnsi="Arial" w:cs="Arial"/>
          <w:sz w:val="22"/>
          <w:szCs w:val="22"/>
        </w:rPr>
        <w:t xml:space="preserve"> or engineering services</w:t>
      </w:r>
      <w:r w:rsidR="006D4FB0" w:rsidRPr="00DB47E2">
        <w:rPr>
          <w:rFonts w:ascii="Arial" w:hAnsi="Arial" w:cs="Arial"/>
          <w:sz w:val="22"/>
          <w:szCs w:val="22"/>
        </w:rPr>
        <w:t xml:space="preserve">.  </w:t>
      </w:r>
      <w:r w:rsidR="00361F42" w:rsidRPr="00DB47E2">
        <w:rPr>
          <w:rFonts w:ascii="Arial" w:hAnsi="Arial" w:cs="Arial"/>
          <w:sz w:val="22"/>
          <w:szCs w:val="22"/>
        </w:rPr>
        <w:t xml:space="preserve"> </w:t>
      </w:r>
      <w:r w:rsidR="00391C2C" w:rsidRPr="00DB47E2">
        <w:rPr>
          <w:rFonts w:ascii="Arial" w:hAnsi="Arial" w:cs="Arial"/>
          <w:sz w:val="22"/>
          <w:szCs w:val="22"/>
        </w:rPr>
        <w:t xml:space="preserve">  </w:t>
      </w:r>
    </w:p>
    <w:p w14:paraId="1CEE5852" w14:textId="3CDBB8AF" w:rsidR="00513B04" w:rsidRPr="00DB47E2" w:rsidRDefault="00513B04">
      <w:pPr>
        <w:tabs>
          <w:tab w:val="left" w:pos="-720"/>
        </w:tabs>
        <w:suppressAutoHyphens/>
        <w:jc w:val="both"/>
        <w:rPr>
          <w:rFonts w:ascii="Arial" w:hAnsi="Arial" w:cs="Arial"/>
          <w:sz w:val="22"/>
          <w:szCs w:val="22"/>
        </w:rPr>
      </w:pPr>
    </w:p>
    <w:p w14:paraId="5448E1E5" w14:textId="75C9AB56" w:rsidR="00672149" w:rsidRPr="00DB47E2" w:rsidRDefault="00672149">
      <w:pPr>
        <w:tabs>
          <w:tab w:val="left" w:pos="-720"/>
        </w:tabs>
        <w:suppressAutoHyphens/>
        <w:jc w:val="both"/>
        <w:rPr>
          <w:rFonts w:ascii="Arial" w:hAnsi="Arial" w:cs="Arial"/>
          <w:sz w:val="22"/>
          <w:szCs w:val="22"/>
        </w:rPr>
      </w:pPr>
      <w:r w:rsidRPr="00203053">
        <w:rPr>
          <w:rFonts w:ascii="Arial" w:hAnsi="Arial" w:cs="Arial"/>
          <w:b/>
          <w:bCs/>
          <w:sz w:val="22"/>
          <w:szCs w:val="22"/>
        </w:rPr>
        <w:t>Tolling of the Statute of Limitations:</w:t>
      </w:r>
      <w:r w:rsidRPr="00DB47E2">
        <w:rPr>
          <w:rFonts w:ascii="Arial" w:hAnsi="Arial" w:cs="Arial"/>
          <w:sz w:val="22"/>
          <w:szCs w:val="22"/>
        </w:rPr>
        <w:t xml:space="preserve"> An applicable statute of limitations may </w:t>
      </w:r>
      <w:proofErr w:type="gramStart"/>
      <w:r w:rsidRPr="00DB47E2">
        <w:rPr>
          <w:rFonts w:ascii="Arial" w:hAnsi="Arial" w:cs="Arial"/>
          <w:sz w:val="22"/>
          <w:szCs w:val="22"/>
        </w:rPr>
        <w:t>be tolled</w:t>
      </w:r>
      <w:proofErr w:type="gramEnd"/>
      <w:r w:rsidR="00397353" w:rsidRPr="00DB47E2">
        <w:rPr>
          <w:rFonts w:ascii="Arial" w:hAnsi="Arial" w:cs="Arial"/>
          <w:sz w:val="22"/>
          <w:szCs w:val="22"/>
        </w:rPr>
        <w:t xml:space="preserve"> or extended</w:t>
      </w:r>
      <w:r w:rsidR="00B55927" w:rsidRPr="00DB47E2">
        <w:rPr>
          <w:rFonts w:ascii="Arial" w:hAnsi="Arial" w:cs="Arial"/>
          <w:sz w:val="22"/>
          <w:szCs w:val="22"/>
        </w:rPr>
        <w:t xml:space="preserve"> for </w:t>
      </w:r>
      <w:proofErr w:type="gramStart"/>
      <w:r w:rsidR="00B55927" w:rsidRPr="00DB47E2">
        <w:rPr>
          <w:rFonts w:ascii="Arial" w:hAnsi="Arial" w:cs="Arial"/>
          <w:sz w:val="22"/>
          <w:szCs w:val="22"/>
        </w:rPr>
        <w:t>a period of time</w:t>
      </w:r>
      <w:proofErr w:type="gramEnd"/>
      <w:r w:rsidRPr="00DB47E2">
        <w:rPr>
          <w:rFonts w:ascii="Arial" w:hAnsi="Arial" w:cs="Arial"/>
          <w:sz w:val="22"/>
          <w:szCs w:val="22"/>
        </w:rPr>
        <w:t xml:space="preserve">. </w:t>
      </w:r>
      <w:r w:rsidR="00A31C58" w:rsidRPr="00DB47E2">
        <w:rPr>
          <w:rFonts w:ascii="Arial" w:hAnsi="Arial" w:cs="Arial"/>
          <w:sz w:val="22"/>
          <w:szCs w:val="22"/>
        </w:rPr>
        <w:t xml:space="preserve">It </w:t>
      </w:r>
      <w:r w:rsidRPr="00DB47E2">
        <w:rPr>
          <w:rFonts w:ascii="Arial" w:hAnsi="Arial" w:cs="Arial"/>
          <w:sz w:val="22"/>
          <w:szCs w:val="22"/>
        </w:rPr>
        <w:t xml:space="preserve">is best to file without considering the time that might </w:t>
      </w:r>
      <w:proofErr w:type="gramStart"/>
      <w:r w:rsidRPr="00DB47E2">
        <w:rPr>
          <w:rFonts w:ascii="Arial" w:hAnsi="Arial" w:cs="Arial"/>
          <w:sz w:val="22"/>
          <w:szCs w:val="22"/>
        </w:rPr>
        <w:t xml:space="preserve">be </w:t>
      </w:r>
      <w:proofErr w:type="spellStart"/>
      <w:r w:rsidRPr="00DB47E2">
        <w:rPr>
          <w:rFonts w:ascii="Arial" w:hAnsi="Arial" w:cs="Arial"/>
          <w:sz w:val="22"/>
          <w:szCs w:val="22"/>
        </w:rPr>
        <w:t>tolled</w:t>
      </w:r>
      <w:proofErr w:type="spellEnd"/>
      <w:proofErr w:type="gramEnd"/>
      <w:r w:rsidR="00B55927" w:rsidRPr="00DB47E2">
        <w:rPr>
          <w:rFonts w:ascii="Arial" w:hAnsi="Arial" w:cs="Arial"/>
          <w:sz w:val="22"/>
          <w:szCs w:val="22"/>
        </w:rPr>
        <w:t xml:space="preserve">, </w:t>
      </w:r>
      <w:proofErr w:type="gramStart"/>
      <w:r w:rsidR="00B55927" w:rsidRPr="00DB47E2">
        <w:rPr>
          <w:rFonts w:ascii="Arial" w:hAnsi="Arial" w:cs="Arial"/>
          <w:sz w:val="22"/>
          <w:szCs w:val="22"/>
        </w:rPr>
        <w:t>if at all possible</w:t>
      </w:r>
      <w:proofErr w:type="gramEnd"/>
      <w:r w:rsidRPr="00DB47E2">
        <w:rPr>
          <w:rFonts w:ascii="Arial" w:hAnsi="Arial" w:cs="Arial"/>
          <w:sz w:val="22"/>
          <w:szCs w:val="22"/>
        </w:rPr>
        <w:t xml:space="preserve">.  Here are some key tolling events and relevant laws. </w:t>
      </w:r>
    </w:p>
    <w:p w14:paraId="0FC627DD" w14:textId="3FF405FA" w:rsidR="00672149" w:rsidRPr="00DB47E2" w:rsidRDefault="00672149">
      <w:pPr>
        <w:tabs>
          <w:tab w:val="left" w:pos="-720"/>
        </w:tabs>
        <w:suppressAutoHyphens/>
        <w:jc w:val="both"/>
        <w:rPr>
          <w:rFonts w:ascii="Arial" w:hAnsi="Arial" w:cs="Arial"/>
          <w:sz w:val="22"/>
          <w:szCs w:val="22"/>
        </w:rPr>
      </w:pPr>
    </w:p>
    <w:p w14:paraId="009E4687" w14:textId="77777777" w:rsidR="007760E5" w:rsidRPr="00DB47E2" w:rsidRDefault="00672149" w:rsidP="007760E5">
      <w:pPr>
        <w:pStyle w:val="ListParagraph"/>
        <w:numPr>
          <w:ilvl w:val="0"/>
          <w:numId w:val="7"/>
        </w:numPr>
        <w:tabs>
          <w:tab w:val="left" w:pos="-720"/>
        </w:tabs>
        <w:suppressAutoHyphens/>
        <w:ind w:left="720"/>
        <w:jc w:val="both"/>
        <w:rPr>
          <w:rFonts w:ascii="Arial" w:hAnsi="Arial" w:cs="Arial"/>
          <w:i/>
          <w:iCs/>
          <w:sz w:val="22"/>
          <w:szCs w:val="22"/>
        </w:rPr>
      </w:pPr>
      <w:r w:rsidRPr="00DB47E2">
        <w:rPr>
          <w:rFonts w:ascii="Arial" w:hAnsi="Arial" w:cs="Arial"/>
          <w:b/>
          <w:bCs/>
          <w:sz w:val="22"/>
          <w:szCs w:val="22"/>
        </w:rPr>
        <w:t>Commencement stayed by injunction or statutory prohibition.</w:t>
      </w:r>
      <w:r w:rsidRPr="00DB47E2">
        <w:rPr>
          <w:rFonts w:ascii="Arial" w:hAnsi="Arial" w:cs="Arial"/>
          <w:sz w:val="22"/>
          <w:szCs w:val="22"/>
        </w:rPr>
        <w:t xml:space="preserve"> ORS 12.210. </w:t>
      </w:r>
      <w:r w:rsidR="006509A8" w:rsidRPr="00DB47E2">
        <w:rPr>
          <w:rFonts w:ascii="Arial" w:hAnsi="Arial" w:cs="Arial"/>
          <w:sz w:val="22"/>
          <w:szCs w:val="22"/>
        </w:rPr>
        <w:t xml:space="preserve">Example – </w:t>
      </w:r>
      <w:r w:rsidR="00955883" w:rsidRPr="00DB47E2">
        <w:rPr>
          <w:rFonts w:ascii="Arial" w:hAnsi="Arial" w:cs="Arial"/>
          <w:sz w:val="22"/>
          <w:szCs w:val="22"/>
        </w:rPr>
        <w:t xml:space="preserve">a </w:t>
      </w:r>
      <w:r w:rsidR="006509A8" w:rsidRPr="00DB47E2">
        <w:rPr>
          <w:rFonts w:ascii="Arial" w:hAnsi="Arial" w:cs="Arial"/>
          <w:sz w:val="22"/>
          <w:szCs w:val="22"/>
        </w:rPr>
        <w:t xml:space="preserve">bankruptcy filing may toll a limitation period. </w:t>
      </w:r>
      <w:r w:rsidR="00CF4F65" w:rsidRPr="00DB47E2">
        <w:rPr>
          <w:rFonts w:ascii="Arial" w:hAnsi="Arial" w:cs="Arial"/>
          <w:i/>
          <w:iCs/>
          <w:sz w:val="22"/>
          <w:szCs w:val="22"/>
        </w:rPr>
        <w:t>See e.g., 11 U.S.C. § 108.</w:t>
      </w:r>
    </w:p>
    <w:p w14:paraId="2D079DE0" w14:textId="04D75B21" w:rsidR="007760E5" w:rsidRPr="00DB47E2" w:rsidRDefault="00672149" w:rsidP="007760E5">
      <w:pPr>
        <w:pStyle w:val="ListParagraph"/>
        <w:numPr>
          <w:ilvl w:val="0"/>
          <w:numId w:val="7"/>
        </w:numPr>
        <w:tabs>
          <w:tab w:val="left" w:pos="-720"/>
        </w:tabs>
        <w:suppressAutoHyphens/>
        <w:ind w:left="720"/>
        <w:jc w:val="both"/>
        <w:rPr>
          <w:rFonts w:ascii="Arial" w:hAnsi="Arial" w:cs="Arial"/>
          <w:i/>
          <w:iCs/>
          <w:sz w:val="22"/>
          <w:szCs w:val="22"/>
        </w:rPr>
      </w:pPr>
      <w:r w:rsidRPr="00DB47E2">
        <w:rPr>
          <w:rFonts w:ascii="Arial" w:hAnsi="Arial" w:cs="Arial"/>
          <w:b/>
          <w:bCs/>
          <w:sz w:val="22"/>
          <w:szCs w:val="22"/>
        </w:rPr>
        <w:t>Claims of minors and those with disabling mental conditions.</w:t>
      </w:r>
      <w:r w:rsidRPr="00DB47E2">
        <w:rPr>
          <w:rFonts w:ascii="Arial" w:hAnsi="Arial" w:cs="Arial"/>
          <w:sz w:val="22"/>
          <w:szCs w:val="22"/>
        </w:rPr>
        <w:t xml:space="preserve"> ORS 12.160</w:t>
      </w:r>
      <w:r w:rsidR="00F166EE" w:rsidRPr="00DB47E2">
        <w:rPr>
          <w:rFonts w:ascii="Arial" w:hAnsi="Arial" w:cs="Arial"/>
          <w:sz w:val="22"/>
          <w:szCs w:val="22"/>
        </w:rPr>
        <w:t>.</w:t>
      </w:r>
      <w:r w:rsidR="00904A88">
        <w:rPr>
          <w:rFonts w:ascii="Arial" w:hAnsi="Arial" w:cs="Arial"/>
          <w:sz w:val="22"/>
          <w:szCs w:val="22"/>
        </w:rPr>
        <w:t xml:space="preserve"> Note: T</w:t>
      </w:r>
      <w:r w:rsidR="00904A88" w:rsidRPr="00904A88">
        <w:rPr>
          <w:rFonts w:ascii="Arial" w:hAnsi="Arial" w:cs="Arial"/>
          <w:sz w:val="22"/>
          <w:szCs w:val="22"/>
        </w:rPr>
        <w:t>he OTCA notice requirement is not tolled under ORS 12.160; instead, ORS 30.275 extends the regular notice requirement only up to an additional 90 days for minority or incapacity. ORS 30.275(2)</w:t>
      </w:r>
      <w:r w:rsidR="00904A88">
        <w:rPr>
          <w:rFonts w:ascii="Arial" w:hAnsi="Arial" w:cs="Arial"/>
          <w:sz w:val="22"/>
          <w:szCs w:val="22"/>
        </w:rPr>
        <w:t>.</w:t>
      </w:r>
    </w:p>
    <w:p w14:paraId="1259A2E3" w14:textId="73123D0F" w:rsidR="00672149" w:rsidRPr="00DB47E2" w:rsidRDefault="006509A8" w:rsidP="007760E5">
      <w:pPr>
        <w:pStyle w:val="ListParagraph"/>
        <w:numPr>
          <w:ilvl w:val="0"/>
          <w:numId w:val="7"/>
        </w:numPr>
        <w:tabs>
          <w:tab w:val="left" w:pos="-720"/>
        </w:tabs>
        <w:suppressAutoHyphens/>
        <w:ind w:left="720"/>
        <w:jc w:val="both"/>
        <w:rPr>
          <w:rFonts w:ascii="Arial" w:hAnsi="Arial" w:cs="Arial"/>
          <w:i/>
          <w:iCs/>
          <w:sz w:val="22"/>
          <w:szCs w:val="22"/>
        </w:rPr>
      </w:pPr>
      <w:r w:rsidRPr="00DB47E2">
        <w:rPr>
          <w:rFonts w:ascii="Arial" w:hAnsi="Arial" w:cs="Arial"/>
          <w:b/>
          <w:bCs/>
          <w:sz w:val="22"/>
          <w:szCs w:val="22"/>
        </w:rPr>
        <w:t>COVID-19 and state of emergency laws.</w:t>
      </w:r>
      <w:r w:rsidRPr="00DB47E2">
        <w:rPr>
          <w:rFonts w:ascii="Arial" w:hAnsi="Arial" w:cs="Arial"/>
          <w:sz w:val="22"/>
          <w:szCs w:val="22"/>
        </w:rPr>
        <w:t xml:space="preserve"> </w:t>
      </w:r>
      <w:r w:rsidR="00F166EE" w:rsidRPr="00DB47E2">
        <w:rPr>
          <w:rFonts w:ascii="Arial" w:hAnsi="Arial" w:cs="Arial"/>
          <w:sz w:val="22"/>
          <w:szCs w:val="22"/>
        </w:rPr>
        <w:t>HB 4212</w:t>
      </w:r>
      <w:r w:rsidR="00955883" w:rsidRPr="00DB47E2">
        <w:rPr>
          <w:rFonts w:ascii="Arial" w:hAnsi="Arial" w:cs="Arial"/>
          <w:sz w:val="22"/>
          <w:szCs w:val="22"/>
        </w:rPr>
        <w:t>, which</w:t>
      </w:r>
      <w:r w:rsidR="00F166EE" w:rsidRPr="00DB47E2">
        <w:rPr>
          <w:rFonts w:ascii="Arial" w:hAnsi="Arial" w:cs="Arial"/>
          <w:sz w:val="22"/>
          <w:szCs w:val="22"/>
        </w:rPr>
        <w:t xml:space="preserve"> became law on June 30, 2020</w:t>
      </w:r>
      <w:r w:rsidR="00397353" w:rsidRPr="00DB47E2">
        <w:rPr>
          <w:rFonts w:ascii="Arial" w:hAnsi="Arial" w:cs="Arial"/>
          <w:sz w:val="22"/>
          <w:szCs w:val="22"/>
        </w:rPr>
        <w:t>,</w:t>
      </w:r>
      <w:r w:rsidR="009B4EFB" w:rsidRPr="00DB47E2">
        <w:rPr>
          <w:rFonts w:ascii="Arial" w:hAnsi="Arial" w:cs="Arial"/>
          <w:sz w:val="22"/>
          <w:szCs w:val="22"/>
        </w:rPr>
        <w:t xml:space="preserve"> </w:t>
      </w:r>
      <w:r w:rsidR="00B55927" w:rsidRPr="00DB47E2">
        <w:rPr>
          <w:rFonts w:ascii="Arial" w:hAnsi="Arial" w:cs="Arial"/>
          <w:sz w:val="22"/>
          <w:szCs w:val="22"/>
        </w:rPr>
        <w:t xml:space="preserve">and SB 813, which became effective July 14, 2021, </w:t>
      </w:r>
      <w:r w:rsidR="00F166EE" w:rsidRPr="00DB47E2">
        <w:rPr>
          <w:rFonts w:ascii="Arial" w:hAnsi="Arial" w:cs="Arial"/>
          <w:sz w:val="22"/>
          <w:szCs w:val="22"/>
        </w:rPr>
        <w:t>extend</w:t>
      </w:r>
      <w:r w:rsidR="002F7E9C">
        <w:rPr>
          <w:rFonts w:ascii="Arial" w:hAnsi="Arial" w:cs="Arial"/>
          <w:sz w:val="22"/>
          <w:szCs w:val="22"/>
        </w:rPr>
        <w:t>ed</w:t>
      </w:r>
      <w:r w:rsidR="00F166EE" w:rsidRPr="00DB47E2">
        <w:rPr>
          <w:rFonts w:ascii="Arial" w:hAnsi="Arial" w:cs="Arial"/>
          <w:sz w:val="22"/>
          <w:szCs w:val="22"/>
        </w:rPr>
        <w:t xml:space="preserve"> certain time periods</w:t>
      </w:r>
      <w:r w:rsidR="003A48E2" w:rsidRPr="00DB47E2">
        <w:rPr>
          <w:rFonts w:ascii="Arial" w:hAnsi="Arial" w:cs="Arial"/>
          <w:sz w:val="22"/>
          <w:szCs w:val="22"/>
        </w:rPr>
        <w:t xml:space="preserve"> due to the </w:t>
      </w:r>
      <w:r w:rsidR="00DB1556" w:rsidRPr="00DB47E2">
        <w:rPr>
          <w:rFonts w:ascii="Arial" w:hAnsi="Arial" w:cs="Arial"/>
          <w:sz w:val="22"/>
          <w:szCs w:val="22"/>
        </w:rPr>
        <w:t>COVID</w:t>
      </w:r>
      <w:r w:rsidR="00FC53F9" w:rsidRPr="00DB47E2">
        <w:rPr>
          <w:rFonts w:ascii="Arial" w:hAnsi="Arial" w:cs="Arial"/>
          <w:sz w:val="22"/>
          <w:szCs w:val="22"/>
        </w:rPr>
        <w:t xml:space="preserve">-19 </w:t>
      </w:r>
      <w:r w:rsidR="003A48E2" w:rsidRPr="00DB47E2">
        <w:rPr>
          <w:rFonts w:ascii="Arial" w:hAnsi="Arial" w:cs="Arial"/>
          <w:sz w:val="22"/>
          <w:szCs w:val="22"/>
        </w:rPr>
        <w:t>pandemic</w:t>
      </w:r>
      <w:r w:rsidR="00FC53F9" w:rsidRPr="00DB47E2">
        <w:rPr>
          <w:rFonts w:ascii="Arial" w:hAnsi="Arial" w:cs="Arial"/>
          <w:sz w:val="22"/>
          <w:szCs w:val="22"/>
        </w:rPr>
        <w:t xml:space="preserve">, </w:t>
      </w:r>
      <w:r w:rsidR="00675F48" w:rsidRPr="00DB47E2">
        <w:rPr>
          <w:rFonts w:ascii="Arial" w:hAnsi="Arial" w:cs="Arial"/>
          <w:sz w:val="22"/>
          <w:szCs w:val="22"/>
        </w:rPr>
        <w:t xml:space="preserve">including time periods for </w:t>
      </w:r>
      <w:r w:rsidR="00FC53F9" w:rsidRPr="00DB47E2">
        <w:rPr>
          <w:rFonts w:ascii="Arial" w:hAnsi="Arial" w:cs="Arial"/>
          <w:sz w:val="22"/>
          <w:szCs w:val="22"/>
        </w:rPr>
        <w:t>commenc</w:t>
      </w:r>
      <w:r w:rsidR="00675F48" w:rsidRPr="00DB47E2">
        <w:rPr>
          <w:rFonts w:ascii="Arial" w:hAnsi="Arial" w:cs="Arial"/>
          <w:sz w:val="22"/>
          <w:szCs w:val="22"/>
        </w:rPr>
        <w:t>ing</w:t>
      </w:r>
      <w:r w:rsidR="00FC53F9" w:rsidRPr="00DB47E2">
        <w:rPr>
          <w:rFonts w:ascii="Arial" w:hAnsi="Arial" w:cs="Arial"/>
          <w:sz w:val="22"/>
          <w:szCs w:val="22"/>
        </w:rPr>
        <w:t xml:space="preserve"> an action</w:t>
      </w:r>
      <w:r w:rsidR="00675F48" w:rsidRPr="00DB47E2">
        <w:rPr>
          <w:rFonts w:ascii="Arial" w:hAnsi="Arial" w:cs="Arial"/>
          <w:sz w:val="22"/>
          <w:szCs w:val="22"/>
        </w:rPr>
        <w:t xml:space="preserve"> under ORS Chapter 12</w:t>
      </w:r>
      <w:r w:rsidR="009B4EFB" w:rsidRPr="00DB47E2">
        <w:rPr>
          <w:rFonts w:ascii="Arial" w:hAnsi="Arial" w:cs="Arial"/>
          <w:sz w:val="22"/>
          <w:szCs w:val="22"/>
        </w:rPr>
        <w:t xml:space="preserve">. </w:t>
      </w:r>
      <w:r w:rsidR="00376590" w:rsidRPr="00376590">
        <w:rPr>
          <w:rFonts w:ascii="Arial" w:hAnsi="Arial" w:cs="Arial"/>
          <w:sz w:val="22"/>
          <w:szCs w:val="22"/>
        </w:rPr>
        <w:t xml:space="preserve">These laws no longer extend the time for relevant notice periods or filing deadlines for new actions. That said, HB 4212 and SB 813 may still affect the timeliness </w:t>
      </w:r>
      <w:r w:rsidR="00376590">
        <w:rPr>
          <w:rFonts w:ascii="Arial" w:hAnsi="Arial" w:cs="Arial"/>
          <w:sz w:val="22"/>
          <w:szCs w:val="22"/>
        </w:rPr>
        <w:t xml:space="preserve">of </w:t>
      </w:r>
      <w:r w:rsidR="00376590" w:rsidRPr="00376590">
        <w:rPr>
          <w:rFonts w:ascii="Arial" w:hAnsi="Arial" w:cs="Arial"/>
          <w:sz w:val="22"/>
          <w:szCs w:val="22"/>
        </w:rPr>
        <w:t xml:space="preserve">on-going cases filed between December 31, </w:t>
      </w:r>
      <w:proofErr w:type="gramStart"/>
      <w:r w:rsidR="00376590" w:rsidRPr="00376590">
        <w:rPr>
          <w:rFonts w:ascii="Arial" w:hAnsi="Arial" w:cs="Arial"/>
          <w:sz w:val="22"/>
          <w:szCs w:val="22"/>
        </w:rPr>
        <w:t>2021</w:t>
      </w:r>
      <w:proofErr w:type="gramEnd"/>
      <w:r w:rsidR="00376590" w:rsidRPr="00376590">
        <w:rPr>
          <w:rFonts w:ascii="Arial" w:hAnsi="Arial" w:cs="Arial"/>
          <w:sz w:val="22"/>
          <w:szCs w:val="22"/>
        </w:rPr>
        <w:t xml:space="preserve"> and June 30, 2022, as courts </w:t>
      </w:r>
      <w:proofErr w:type="gramStart"/>
      <w:r w:rsidR="00376590" w:rsidRPr="00376590">
        <w:rPr>
          <w:rFonts w:ascii="Arial" w:hAnsi="Arial" w:cs="Arial"/>
          <w:sz w:val="22"/>
          <w:szCs w:val="22"/>
        </w:rPr>
        <w:t>determine</w:t>
      </w:r>
      <w:proofErr w:type="gramEnd"/>
      <w:r w:rsidR="00376590" w:rsidRPr="00376590">
        <w:rPr>
          <w:rFonts w:ascii="Arial" w:hAnsi="Arial" w:cs="Arial"/>
          <w:sz w:val="22"/>
          <w:szCs w:val="22"/>
        </w:rPr>
        <w:t xml:space="preserve"> when the extension provisions expired.  For the most part, courts have thus far ruled that the extension provisions </w:t>
      </w:r>
      <w:proofErr w:type="gramStart"/>
      <w:r w:rsidR="00376590" w:rsidRPr="00376590">
        <w:rPr>
          <w:rFonts w:ascii="Arial" w:hAnsi="Arial" w:cs="Arial"/>
          <w:sz w:val="22"/>
          <w:szCs w:val="22"/>
        </w:rPr>
        <w:t>were automatically repealed</w:t>
      </w:r>
      <w:proofErr w:type="gramEnd"/>
      <w:r w:rsidR="00376590" w:rsidRPr="00376590">
        <w:rPr>
          <w:rFonts w:ascii="Arial" w:hAnsi="Arial" w:cs="Arial"/>
          <w:sz w:val="22"/>
          <w:szCs w:val="22"/>
        </w:rPr>
        <w:t xml:space="preserve"> on December 31, </w:t>
      </w:r>
      <w:proofErr w:type="gramStart"/>
      <w:r w:rsidR="00376590" w:rsidRPr="00376590">
        <w:rPr>
          <w:rFonts w:ascii="Arial" w:hAnsi="Arial" w:cs="Arial"/>
          <w:sz w:val="22"/>
          <w:szCs w:val="22"/>
        </w:rPr>
        <w:t>2021</w:t>
      </w:r>
      <w:proofErr w:type="gramEnd"/>
      <w:r w:rsidR="00376590" w:rsidRPr="00376590">
        <w:rPr>
          <w:rFonts w:ascii="Arial" w:hAnsi="Arial" w:cs="Arial"/>
          <w:sz w:val="22"/>
          <w:szCs w:val="22"/>
        </w:rPr>
        <w:t xml:space="preserve"> under Section 8 of HB 4212.</w:t>
      </w:r>
      <w:r w:rsidR="00FC53F9" w:rsidRPr="00DB47E2">
        <w:rPr>
          <w:rFonts w:ascii="Arial" w:hAnsi="Arial" w:cs="Arial"/>
          <w:sz w:val="22"/>
          <w:szCs w:val="22"/>
        </w:rPr>
        <w:t xml:space="preserve"> </w:t>
      </w:r>
      <w:r w:rsidR="009B4EFB" w:rsidRPr="00DB47E2">
        <w:rPr>
          <w:rFonts w:ascii="Arial" w:hAnsi="Arial" w:cs="Arial"/>
          <w:sz w:val="22"/>
          <w:szCs w:val="22"/>
        </w:rPr>
        <w:t xml:space="preserve"> </w:t>
      </w:r>
    </w:p>
    <w:p w14:paraId="0399AC6A" w14:textId="50EAFE22" w:rsidR="00822B2A" w:rsidRPr="00DB47E2" w:rsidRDefault="00822B2A">
      <w:pPr>
        <w:tabs>
          <w:tab w:val="left" w:pos="-720"/>
          <w:tab w:val="left" w:pos="0"/>
        </w:tabs>
        <w:suppressAutoHyphens/>
        <w:ind w:left="720" w:hanging="720"/>
        <w:jc w:val="both"/>
        <w:rPr>
          <w:rFonts w:ascii="Arial" w:hAnsi="Arial" w:cs="Arial"/>
          <w:sz w:val="22"/>
          <w:szCs w:val="22"/>
        </w:rPr>
      </w:pPr>
    </w:p>
    <w:p w14:paraId="39781EDF" w14:textId="1D11227F" w:rsidR="00513B04" w:rsidRPr="00DB47E2" w:rsidRDefault="0033605A" w:rsidP="00DD7A96">
      <w:pPr>
        <w:pStyle w:val="Heading1"/>
        <w:rPr>
          <w:rFonts w:cs="Arial"/>
          <w:sz w:val="22"/>
          <w:szCs w:val="22"/>
        </w:rPr>
      </w:pPr>
      <w:r w:rsidRPr="00DB47E2">
        <w:rPr>
          <w:rFonts w:cs="Arial"/>
          <w:sz w:val="22"/>
          <w:szCs w:val="22"/>
        </w:rPr>
        <w:t xml:space="preserve">Other Commonly Missed Statues of Limitation:  </w:t>
      </w:r>
    </w:p>
    <w:p w14:paraId="50452BF9" w14:textId="77777777" w:rsidR="00513B04" w:rsidRPr="00DB47E2" w:rsidRDefault="00513B04">
      <w:pPr>
        <w:rPr>
          <w:rFonts w:ascii="Arial" w:hAnsi="Arial" w:cs="Arial"/>
          <w:sz w:val="22"/>
          <w:szCs w:val="22"/>
        </w:rPr>
      </w:pPr>
    </w:p>
    <w:p w14:paraId="08B4DCEE" w14:textId="77777777" w:rsidR="00513B04" w:rsidRPr="00DB47E2" w:rsidRDefault="00513B04">
      <w:pPr>
        <w:pStyle w:val="BodyText"/>
        <w:ind w:left="1584" w:hanging="1584"/>
        <w:rPr>
          <w:rFonts w:cs="Arial"/>
          <w:szCs w:val="22"/>
          <w:u w:val="none"/>
        </w:rPr>
      </w:pPr>
      <w:r w:rsidRPr="00DB47E2">
        <w:rPr>
          <w:rFonts w:cs="Arial"/>
          <w:szCs w:val="22"/>
          <w:u w:val="none"/>
        </w:rPr>
        <w:t>2 years</w:t>
      </w:r>
      <w:r w:rsidRPr="00DB47E2">
        <w:rPr>
          <w:rFonts w:cs="Arial"/>
          <w:szCs w:val="22"/>
          <w:u w:val="none"/>
        </w:rPr>
        <w:tab/>
      </w:r>
      <w:r w:rsidRPr="00DB47E2">
        <w:rPr>
          <w:rFonts w:cs="Arial"/>
          <w:b/>
          <w:i/>
          <w:szCs w:val="22"/>
          <w:u w:val="none"/>
        </w:rPr>
        <w:t>California</w:t>
      </w:r>
      <w:r w:rsidRPr="00DB47E2">
        <w:rPr>
          <w:rFonts w:cs="Arial"/>
          <w:szCs w:val="22"/>
          <w:u w:val="none"/>
        </w:rPr>
        <w:t xml:space="preserve"> personal injury and wrongful death actions</w:t>
      </w:r>
      <w:r w:rsidR="002C32E0" w:rsidRPr="00DB47E2">
        <w:rPr>
          <w:rFonts w:cs="Arial"/>
          <w:szCs w:val="22"/>
          <w:u w:val="none"/>
        </w:rPr>
        <w:t xml:space="preserve">.  </w:t>
      </w:r>
      <w:r w:rsidRPr="00DB47E2">
        <w:rPr>
          <w:rFonts w:cs="Arial"/>
          <w:szCs w:val="22"/>
          <w:u w:val="none"/>
        </w:rPr>
        <w:t>CCP Section 335.1 effective 1/1/</w:t>
      </w:r>
      <w:r w:rsidR="00C564AA" w:rsidRPr="00DB47E2">
        <w:rPr>
          <w:rFonts w:cs="Arial"/>
          <w:szCs w:val="22"/>
          <w:u w:val="none"/>
        </w:rPr>
        <w:t>20</w:t>
      </w:r>
      <w:r w:rsidRPr="00DB47E2">
        <w:rPr>
          <w:rFonts w:cs="Arial"/>
          <w:szCs w:val="22"/>
          <w:u w:val="none"/>
        </w:rPr>
        <w:t>03</w:t>
      </w:r>
      <w:r w:rsidR="002C32E0" w:rsidRPr="00DB47E2">
        <w:rPr>
          <w:rFonts w:cs="Arial"/>
          <w:szCs w:val="22"/>
          <w:u w:val="none"/>
        </w:rPr>
        <w:t xml:space="preserve">.  </w:t>
      </w:r>
      <w:r w:rsidRPr="00DB47E2">
        <w:rPr>
          <w:rFonts w:cs="Arial"/>
          <w:szCs w:val="22"/>
          <w:u w:val="none"/>
        </w:rPr>
        <w:t xml:space="preserve">Consult counsel in California and review </w:t>
      </w:r>
      <w:r w:rsidRPr="00DB47E2">
        <w:rPr>
          <w:rFonts w:cs="Arial"/>
          <w:color w:val="000000"/>
          <w:szCs w:val="22"/>
          <w:u w:val="none"/>
        </w:rPr>
        <w:t>applicable</w:t>
      </w:r>
      <w:r w:rsidR="0033605A" w:rsidRPr="00DB47E2">
        <w:rPr>
          <w:rFonts w:cs="Arial"/>
          <w:color w:val="000000"/>
          <w:szCs w:val="22"/>
          <w:u w:val="none"/>
        </w:rPr>
        <w:t xml:space="preserve"> </w:t>
      </w:r>
      <w:r w:rsidRPr="00DB47E2">
        <w:rPr>
          <w:rFonts w:cs="Arial"/>
          <w:szCs w:val="22"/>
          <w:u w:val="none"/>
        </w:rPr>
        <w:t>statutes for more information.</w:t>
      </w:r>
    </w:p>
    <w:p w14:paraId="1D8C5866" w14:textId="77777777" w:rsidR="00513B04" w:rsidRPr="00DB47E2" w:rsidRDefault="00513B04">
      <w:pPr>
        <w:ind w:left="1584" w:hanging="1584"/>
        <w:rPr>
          <w:rFonts w:ascii="Arial" w:hAnsi="Arial" w:cs="Arial"/>
          <w:sz w:val="22"/>
          <w:szCs w:val="22"/>
        </w:rPr>
      </w:pPr>
    </w:p>
    <w:p w14:paraId="2C2814E7" w14:textId="77777777" w:rsidR="00513B04" w:rsidRPr="00DB47E2" w:rsidRDefault="00513B04">
      <w:pPr>
        <w:pStyle w:val="BodyTextIndent"/>
        <w:ind w:left="1584" w:hanging="1584"/>
        <w:rPr>
          <w:rFonts w:cs="Arial"/>
          <w:szCs w:val="22"/>
          <w:u w:val="none"/>
        </w:rPr>
      </w:pPr>
      <w:r w:rsidRPr="00DB47E2">
        <w:rPr>
          <w:rFonts w:cs="Arial"/>
          <w:szCs w:val="22"/>
          <w:u w:val="none"/>
        </w:rPr>
        <w:t>3 years</w:t>
      </w:r>
      <w:r w:rsidRPr="00DB47E2">
        <w:rPr>
          <w:rFonts w:cs="Arial"/>
          <w:szCs w:val="22"/>
          <w:u w:val="none"/>
        </w:rPr>
        <w:tab/>
      </w:r>
      <w:r w:rsidRPr="00DB47E2">
        <w:rPr>
          <w:rFonts w:cs="Arial"/>
          <w:b/>
          <w:i/>
          <w:szCs w:val="22"/>
          <w:u w:val="none"/>
        </w:rPr>
        <w:t>Washington</w:t>
      </w:r>
      <w:r w:rsidRPr="00DB47E2">
        <w:rPr>
          <w:rFonts w:cs="Arial"/>
          <w:szCs w:val="22"/>
          <w:u w:val="none"/>
        </w:rPr>
        <w:t xml:space="preserve"> personal injury actions</w:t>
      </w:r>
      <w:r w:rsidR="002C32E0" w:rsidRPr="00DB47E2">
        <w:rPr>
          <w:rFonts w:cs="Arial"/>
          <w:szCs w:val="22"/>
          <w:u w:val="none"/>
        </w:rPr>
        <w:t xml:space="preserve">.  </w:t>
      </w:r>
      <w:r w:rsidR="00970DEE" w:rsidRPr="00DB47E2">
        <w:rPr>
          <w:rFonts w:cs="Arial"/>
          <w:szCs w:val="22"/>
          <w:u w:val="none"/>
        </w:rPr>
        <w:t>RCW 4.16.080</w:t>
      </w:r>
      <w:r w:rsidR="003657A7" w:rsidRPr="00DB47E2">
        <w:rPr>
          <w:rFonts w:cs="Arial"/>
          <w:szCs w:val="22"/>
          <w:u w:val="none"/>
        </w:rPr>
        <w:t xml:space="preserve"> effect</w:t>
      </w:r>
      <w:r w:rsidR="00C564AA" w:rsidRPr="00DB47E2">
        <w:rPr>
          <w:rFonts w:cs="Arial"/>
          <w:szCs w:val="22"/>
          <w:u w:val="none"/>
        </w:rPr>
        <w:t>ive</w:t>
      </w:r>
      <w:r w:rsidR="003657A7" w:rsidRPr="00DB47E2">
        <w:rPr>
          <w:rFonts w:cs="Arial"/>
          <w:szCs w:val="22"/>
          <w:u w:val="none"/>
        </w:rPr>
        <w:t xml:space="preserve"> 7/1/2011</w:t>
      </w:r>
      <w:r w:rsidR="00C564AA" w:rsidRPr="00DB47E2">
        <w:rPr>
          <w:rFonts w:cs="Arial"/>
          <w:szCs w:val="22"/>
          <w:u w:val="none"/>
        </w:rPr>
        <w:t xml:space="preserve">.  </w:t>
      </w:r>
      <w:r w:rsidRPr="00DB47E2">
        <w:rPr>
          <w:rFonts w:cs="Arial"/>
          <w:szCs w:val="22"/>
          <w:u w:val="none"/>
        </w:rPr>
        <w:t xml:space="preserve">Consult counsel in Washington and review </w:t>
      </w:r>
      <w:r w:rsidRPr="00DB47E2">
        <w:rPr>
          <w:rFonts w:cs="Arial"/>
          <w:color w:val="000000"/>
          <w:szCs w:val="22"/>
          <w:u w:val="none"/>
        </w:rPr>
        <w:t>applicable</w:t>
      </w:r>
      <w:r w:rsidR="0033605A" w:rsidRPr="00DB47E2">
        <w:rPr>
          <w:rFonts w:cs="Arial"/>
          <w:color w:val="000000"/>
          <w:szCs w:val="22"/>
          <w:u w:val="none"/>
        </w:rPr>
        <w:t xml:space="preserve"> </w:t>
      </w:r>
      <w:r w:rsidRPr="00DB47E2">
        <w:rPr>
          <w:rFonts w:cs="Arial"/>
          <w:szCs w:val="22"/>
          <w:u w:val="none"/>
        </w:rPr>
        <w:t xml:space="preserve">code </w:t>
      </w:r>
      <w:r w:rsidR="00FB316E" w:rsidRPr="00DB47E2">
        <w:rPr>
          <w:rFonts w:cs="Arial"/>
          <w:szCs w:val="22"/>
          <w:u w:val="none"/>
        </w:rPr>
        <w:t xml:space="preserve">provisions </w:t>
      </w:r>
      <w:r w:rsidRPr="00DB47E2">
        <w:rPr>
          <w:rFonts w:cs="Arial"/>
          <w:szCs w:val="22"/>
          <w:u w:val="none"/>
        </w:rPr>
        <w:t>for more information.</w:t>
      </w:r>
    </w:p>
    <w:p w14:paraId="4CBD6B7E" w14:textId="42AFE5A9" w:rsidR="00321060" w:rsidRPr="00DB47E2" w:rsidRDefault="00321060">
      <w:pPr>
        <w:pStyle w:val="BodyTextIndent"/>
        <w:ind w:left="1584" w:hanging="1584"/>
        <w:rPr>
          <w:rFonts w:cs="Arial"/>
          <w:szCs w:val="22"/>
          <w:u w:val="none"/>
        </w:rPr>
      </w:pPr>
    </w:p>
    <w:p w14:paraId="710A4C2C" w14:textId="26DA2653" w:rsidR="00681593" w:rsidRPr="00DB47E2" w:rsidRDefault="00681593">
      <w:pPr>
        <w:pStyle w:val="BodyTextIndent"/>
        <w:ind w:left="1584" w:hanging="1584"/>
        <w:rPr>
          <w:rFonts w:cs="Arial"/>
          <w:szCs w:val="22"/>
          <w:u w:val="none"/>
        </w:rPr>
      </w:pPr>
    </w:p>
    <w:p w14:paraId="19FD00C4" w14:textId="52DDD06E" w:rsidR="00681593" w:rsidRPr="00DB47E2" w:rsidRDefault="00681593">
      <w:pPr>
        <w:pStyle w:val="BodyTextIndent"/>
        <w:ind w:left="1584" w:hanging="1584"/>
        <w:rPr>
          <w:rFonts w:cs="Arial"/>
          <w:szCs w:val="22"/>
          <w:u w:val="none"/>
        </w:rPr>
      </w:pPr>
    </w:p>
    <w:p w14:paraId="423AB170" w14:textId="5E8FE7A0" w:rsidR="00681593" w:rsidRPr="00DB47E2" w:rsidRDefault="00681593">
      <w:pPr>
        <w:pStyle w:val="BodyTextIndent"/>
        <w:ind w:left="1584" w:hanging="1584"/>
        <w:rPr>
          <w:rFonts w:cs="Arial"/>
          <w:szCs w:val="22"/>
          <w:u w:val="none"/>
        </w:rPr>
      </w:pPr>
    </w:p>
    <w:p w14:paraId="3106A46C" w14:textId="77777777" w:rsidR="00703691" w:rsidRPr="00DB47E2" w:rsidRDefault="00703691">
      <w:pPr>
        <w:pStyle w:val="BodyTextIndent"/>
        <w:ind w:left="1584" w:hanging="1584"/>
        <w:rPr>
          <w:rFonts w:cs="Arial"/>
          <w:szCs w:val="22"/>
          <w:u w:val="none"/>
        </w:rPr>
      </w:pPr>
    </w:p>
    <w:p w14:paraId="6129962B" w14:textId="77777777" w:rsidR="0098656B" w:rsidRPr="00DB47E2" w:rsidRDefault="0098656B" w:rsidP="0098656B">
      <w:pPr>
        <w:jc w:val="center"/>
        <w:rPr>
          <w:rFonts w:ascii="Arial" w:hAnsi="Arial" w:cs="Arial"/>
          <w:b/>
          <w:sz w:val="22"/>
          <w:szCs w:val="22"/>
        </w:rPr>
      </w:pPr>
      <w:r w:rsidRPr="00DB47E2">
        <w:rPr>
          <w:rFonts w:ascii="Arial" w:hAnsi="Arial" w:cs="Arial"/>
          <w:b/>
          <w:sz w:val="22"/>
          <w:szCs w:val="22"/>
        </w:rPr>
        <w:t>IMPORTANT NOTICES</w:t>
      </w:r>
    </w:p>
    <w:p w14:paraId="1372D527" w14:textId="77777777" w:rsidR="0098656B" w:rsidRPr="00DB47E2" w:rsidRDefault="0098656B" w:rsidP="0098656B">
      <w:pPr>
        <w:rPr>
          <w:rFonts w:ascii="Arial" w:hAnsi="Arial" w:cs="Arial"/>
          <w:sz w:val="22"/>
          <w:szCs w:val="22"/>
        </w:rPr>
      </w:pPr>
    </w:p>
    <w:p w14:paraId="3767F15D" w14:textId="125345CF" w:rsidR="0098656B" w:rsidRPr="00DB47E2" w:rsidRDefault="0098656B" w:rsidP="00A84C7A">
      <w:pPr>
        <w:jc w:val="both"/>
        <w:rPr>
          <w:rFonts w:ascii="Arial" w:hAnsi="Arial" w:cs="Arial"/>
          <w:sz w:val="22"/>
          <w:szCs w:val="22"/>
        </w:rPr>
      </w:pPr>
      <w:r w:rsidRPr="00DB47E2">
        <w:rPr>
          <w:rFonts w:ascii="Arial" w:hAnsi="Arial" w:cs="Arial"/>
          <w:sz w:val="22"/>
          <w:szCs w:val="22"/>
        </w:rPr>
        <w:t xml:space="preserve">This material is provided for informational purposes only and does not establish, report, or create the standard of care for attorneys in Oregon, nor does it represent a complete analysis of the topics </w:t>
      </w:r>
      <w:r w:rsidRPr="00DB47E2">
        <w:rPr>
          <w:rFonts w:ascii="Arial" w:hAnsi="Arial" w:cs="Arial"/>
          <w:color w:val="000000"/>
          <w:sz w:val="22"/>
          <w:szCs w:val="22"/>
        </w:rPr>
        <w:t>presented</w:t>
      </w:r>
      <w:r w:rsidRPr="00DB47E2">
        <w:rPr>
          <w:rFonts w:ascii="Arial" w:hAnsi="Arial" w:cs="Arial"/>
          <w:sz w:val="22"/>
          <w:szCs w:val="22"/>
        </w:rPr>
        <w:t xml:space="preserve">.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w:t>
      </w:r>
      <w:r w:rsidRPr="00DB47E2">
        <w:rPr>
          <w:rFonts w:ascii="Arial" w:hAnsi="Arial" w:cs="Arial"/>
          <w:color w:val="000000"/>
          <w:sz w:val="22"/>
          <w:szCs w:val="22"/>
        </w:rPr>
        <w:t>use in</w:t>
      </w:r>
      <w:r w:rsidR="0033605A" w:rsidRPr="00DB47E2">
        <w:rPr>
          <w:rFonts w:ascii="Arial" w:hAnsi="Arial" w:cs="Arial"/>
          <w:color w:val="000000"/>
          <w:sz w:val="22"/>
          <w:szCs w:val="22"/>
        </w:rPr>
        <w:t xml:space="preserve"> </w:t>
      </w:r>
      <w:r w:rsidRPr="00DB47E2">
        <w:rPr>
          <w:rFonts w:ascii="Arial" w:hAnsi="Arial" w:cs="Arial"/>
          <w:sz w:val="22"/>
          <w:szCs w:val="22"/>
        </w:rPr>
        <w:t xml:space="preserve">their own practices.  © </w:t>
      </w:r>
      <w:r w:rsidR="00DD7A96" w:rsidRPr="00DB47E2">
        <w:rPr>
          <w:rFonts w:ascii="Arial" w:hAnsi="Arial" w:cs="Arial"/>
          <w:sz w:val="22"/>
          <w:szCs w:val="22"/>
        </w:rPr>
        <w:t>202</w:t>
      </w:r>
      <w:r w:rsidR="00A0501B">
        <w:rPr>
          <w:rFonts w:ascii="Arial" w:hAnsi="Arial" w:cs="Arial"/>
          <w:sz w:val="22"/>
          <w:szCs w:val="22"/>
        </w:rPr>
        <w:t>5</w:t>
      </w:r>
      <w:r w:rsidR="0033605A" w:rsidRPr="00DB47E2">
        <w:rPr>
          <w:rFonts w:ascii="Arial" w:hAnsi="Arial" w:cs="Arial"/>
          <w:sz w:val="22"/>
          <w:szCs w:val="22"/>
        </w:rPr>
        <w:t xml:space="preserve"> </w:t>
      </w:r>
      <w:r w:rsidR="00681593" w:rsidRPr="00DB47E2">
        <w:rPr>
          <w:rFonts w:ascii="Arial" w:hAnsi="Arial" w:cs="Arial"/>
          <w:sz w:val="22"/>
          <w:szCs w:val="22"/>
        </w:rPr>
        <w:t>OSB Professional Liability Fund</w:t>
      </w:r>
    </w:p>
    <w:sectPr w:rsidR="0098656B" w:rsidRPr="00DB47E2" w:rsidSect="00321060">
      <w:headerReference w:type="default" r:id="rId7"/>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670F7" w14:textId="77777777" w:rsidR="00BB5244" w:rsidRDefault="00BB5244">
      <w:r>
        <w:separator/>
      </w:r>
    </w:p>
  </w:endnote>
  <w:endnote w:type="continuationSeparator" w:id="0">
    <w:p w14:paraId="529402A4" w14:textId="77777777" w:rsidR="00BB5244" w:rsidRDefault="00BB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6630" w14:textId="1FA9DCB6" w:rsidR="00513B04" w:rsidRPr="00F87F80" w:rsidRDefault="00F87F80" w:rsidP="00F87F80">
    <w:pPr>
      <w:tabs>
        <w:tab w:val="center" w:pos="3510"/>
        <w:tab w:val="right" w:pos="9360"/>
      </w:tabs>
      <w:suppressAutoHyphens/>
      <w:rPr>
        <w:rFonts w:ascii="Arial" w:hAnsi="Arial" w:cs="Arial"/>
        <w:spacing w:val="-1"/>
        <w:sz w:val="16"/>
        <w:szCs w:val="16"/>
      </w:rPr>
    </w:pPr>
    <w:r>
      <w:rPr>
        <w:rFonts w:ascii="Arial" w:hAnsi="Arial"/>
        <w:sz w:val="16"/>
        <w:szCs w:val="16"/>
      </w:rPr>
      <w:t>PRO</w:t>
    </w:r>
    <w:r w:rsidR="00703691">
      <w:rPr>
        <w:rFonts w:ascii="Arial" w:hAnsi="Arial"/>
        <w:sz w:val="16"/>
        <w:szCs w:val="16"/>
      </w:rPr>
      <w:t xml:space="preserve">FESSIONAL LIABILITY FUND </w:t>
    </w:r>
    <w:r w:rsidR="009A1707">
      <w:rPr>
        <w:rFonts w:ascii="Arial" w:hAnsi="Arial"/>
        <w:sz w:val="16"/>
        <w:szCs w:val="16"/>
      </w:rPr>
      <w:t>[Rev.1</w:t>
    </w:r>
    <w:r w:rsidR="002716C6">
      <w:rPr>
        <w:rFonts w:ascii="Arial" w:hAnsi="Arial"/>
        <w:sz w:val="16"/>
        <w:szCs w:val="16"/>
      </w:rPr>
      <w:t>1</w:t>
    </w:r>
    <w:r w:rsidR="00DD7A96">
      <w:rPr>
        <w:rFonts w:ascii="Arial" w:hAnsi="Arial"/>
        <w:sz w:val="16"/>
        <w:szCs w:val="16"/>
      </w:rPr>
      <w:t>/202</w:t>
    </w:r>
    <w:r w:rsidR="00A0501B">
      <w:rPr>
        <w:rFonts w:ascii="Arial" w:hAnsi="Arial"/>
        <w:sz w:val="16"/>
        <w:szCs w:val="16"/>
      </w:rPr>
      <w:t>5</w:t>
    </w:r>
    <w:r>
      <w:rPr>
        <w:rFonts w:ascii="Arial" w:hAnsi="Arial"/>
        <w:sz w:val="16"/>
        <w:szCs w:val="16"/>
      </w:rPr>
      <w:t>]</w:t>
    </w:r>
    <w:r>
      <w:rPr>
        <w:rFonts w:ascii="Arial" w:hAnsi="Arial"/>
        <w:sz w:val="16"/>
        <w:szCs w:val="16"/>
      </w:rPr>
      <w:tab/>
    </w:r>
    <w:r w:rsidR="00FB3AC7">
      <w:rPr>
        <w:rFonts w:ascii="Arial" w:hAnsi="Arial"/>
        <w:sz w:val="16"/>
        <w:szCs w:val="16"/>
      </w:rPr>
      <w:t xml:space="preserve">Oregon </w:t>
    </w:r>
    <w:r>
      <w:rPr>
        <w:rFonts w:ascii="Arial" w:hAnsi="Arial"/>
        <w:sz w:val="16"/>
        <w:szCs w:val="16"/>
      </w:rPr>
      <w:t>Statu</w:t>
    </w:r>
    <w:r w:rsidR="004F1793">
      <w:rPr>
        <w:rFonts w:ascii="Arial" w:hAnsi="Arial"/>
        <w:sz w:val="16"/>
        <w:szCs w:val="16"/>
      </w:rPr>
      <w:t>t</w:t>
    </w:r>
    <w:r>
      <w:rPr>
        <w:rFonts w:ascii="Arial" w:hAnsi="Arial"/>
        <w:sz w:val="16"/>
        <w:szCs w:val="16"/>
      </w:rPr>
      <w:t>es of Limitation</w:t>
    </w:r>
    <w:r w:rsidR="00FB3AC7">
      <w:rPr>
        <w:rFonts w:ascii="Arial" w:hAnsi="Arial"/>
        <w:sz w:val="16"/>
        <w:szCs w:val="16"/>
      </w:rPr>
      <w:t xml:space="preserve">- </w:t>
    </w:r>
    <w:r>
      <w:rPr>
        <w:rFonts w:ascii="Arial" w:hAnsi="Arial"/>
        <w:sz w:val="16"/>
        <w:szCs w:val="16"/>
      </w:rPr>
      <w:t xml:space="preserve">Generally – Page </w:t>
    </w:r>
    <w:r w:rsidRPr="00F87F80">
      <w:rPr>
        <w:rFonts w:ascii="Arial" w:hAnsi="Arial"/>
        <w:sz w:val="16"/>
        <w:szCs w:val="16"/>
      </w:rPr>
      <w:fldChar w:fldCharType="begin"/>
    </w:r>
    <w:r w:rsidRPr="00F87F80">
      <w:rPr>
        <w:rFonts w:ascii="Arial" w:hAnsi="Arial"/>
        <w:sz w:val="16"/>
        <w:szCs w:val="16"/>
      </w:rPr>
      <w:instrText xml:space="preserve"> PAGE   \* MERGEFORMAT </w:instrText>
    </w:r>
    <w:r w:rsidRPr="00F87F80">
      <w:rPr>
        <w:rFonts w:ascii="Arial" w:hAnsi="Arial"/>
        <w:sz w:val="16"/>
        <w:szCs w:val="16"/>
      </w:rPr>
      <w:fldChar w:fldCharType="separate"/>
    </w:r>
    <w:r w:rsidR="00187BA2">
      <w:rPr>
        <w:rFonts w:ascii="Arial" w:hAnsi="Arial"/>
        <w:noProof/>
        <w:sz w:val="16"/>
        <w:szCs w:val="16"/>
      </w:rPr>
      <w:t>1</w:t>
    </w:r>
    <w:r w:rsidRPr="00F87F80">
      <w:rPr>
        <w:rFonts w:ascii="Arial" w:hAnsi="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647A3" w14:textId="77777777" w:rsidR="00BB5244" w:rsidRDefault="00BB5244">
      <w:r>
        <w:separator/>
      </w:r>
    </w:p>
  </w:footnote>
  <w:footnote w:type="continuationSeparator" w:id="0">
    <w:p w14:paraId="378CE095" w14:textId="77777777" w:rsidR="00BB5244" w:rsidRDefault="00BB5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6E19" w14:textId="3ACED31A" w:rsidR="00481D6C" w:rsidRPr="00703691" w:rsidRDefault="00703691" w:rsidP="00703691">
    <w:pPr>
      <w:pStyle w:val="Title"/>
      <w:rPr>
        <w:rFonts w:cs="Arial"/>
        <w:sz w:val="24"/>
        <w:szCs w:val="24"/>
      </w:rPr>
    </w:pPr>
    <w:r w:rsidRPr="0033605A">
      <w:rPr>
        <w:rFonts w:cs="Arial"/>
        <w:sz w:val="24"/>
        <w:szCs w:val="24"/>
      </w:rPr>
      <w:t>OREGON STA</w:t>
    </w:r>
    <w:r>
      <w:rPr>
        <w:rFonts w:cs="Arial"/>
        <w:sz w:val="24"/>
        <w:szCs w:val="24"/>
      </w:rPr>
      <w:t>TUTES OF LIMITATION - GENERALLY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233D"/>
    <w:multiLevelType w:val="hybridMultilevel"/>
    <w:tmpl w:val="1D2EEF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5767B0"/>
    <w:multiLevelType w:val="singleLevel"/>
    <w:tmpl w:val="4FD034F8"/>
    <w:lvl w:ilvl="0">
      <w:start w:val="1"/>
      <w:numFmt w:val="decimal"/>
      <w:lvlText w:val="%1."/>
      <w:lvlJc w:val="left"/>
      <w:pPr>
        <w:tabs>
          <w:tab w:val="num" w:pos="720"/>
        </w:tabs>
        <w:ind w:left="720" w:hanging="720"/>
      </w:pPr>
      <w:rPr>
        <w:rFonts w:hint="default"/>
      </w:rPr>
    </w:lvl>
  </w:abstractNum>
  <w:abstractNum w:abstractNumId="2" w15:restartNumberingAfterBreak="0">
    <w:nsid w:val="36C157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5A23EA2"/>
    <w:multiLevelType w:val="hybridMultilevel"/>
    <w:tmpl w:val="3F5069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9A82D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9DC302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40774358">
    <w:abstractNumId w:val="4"/>
  </w:num>
  <w:num w:numId="2" w16cid:durableId="54623290">
    <w:abstractNumId w:val="2"/>
  </w:num>
  <w:num w:numId="3" w16cid:durableId="253176028">
    <w:abstractNumId w:val="5"/>
  </w:num>
  <w:num w:numId="4" w16cid:durableId="1620793935">
    <w:abstractNumId w:val="1"/>
  </w:num>
  <w:num w:numId="5" w16cid:durableId="4262742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4423156">
    <w:abstractNumId w:val="0"/>
  </w:num>
  <w:num w:numId="7" w16cid:durableId="403719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d1" w:val="3335568/1/NC/041128-0011"/>
    <w:docVar w:name="footerid2" w:val="3335568/1/NC/041128-0011"/>
  </w:docVars>
  <w:rsids>
    <w:rsidRoot w:val="001B625C"/>
    <w:rsid w:val="000106F7"/>
    <w:rsid w:val="00013C2A"/>
    <w:rsid w:val="000221B9"/>
    <w:rsid w:val="00061C91"/>
    <w:rsid w:val="000D2FFC"/>
    <w:rsid w:val="000D49C0"/>
    <w:rsid w:val="000D76A4"/>
    <w:rsid w:val="000F34BA"/>
    <w:rsid w:val="00102DCD"/>
    <w:rsid w:val="00107BCE"/>
    <w:rsid w:val="00116B0C"/>
    <w:rsid w:val="00150E6E"/>
    <w:rsid w:val="00153C3E"/>
    <w:rsid w:val="00166835"/>
    <w:rsid w:val="001735CD"/>
    <w:rsid w:val="001860E1"/>
    <w:rsid w:val="00187BA2"/>
    <w:rsid w:val="001B625C"/>
    <w:rsid w:val="001F26AA"/>
    <w:rsid w:val="00203053"/>
    <w:rsid w:val="002454DA"/>
    <w:rsid w:val="00261363"/>
    <w:rsid w:val="002716C6"/>
    <w:rsid w:val="00283773"/>
    <w:rsid w:val="002901F1"/>
    <w:rsid w:val="002A2869"/>
    <w:rsid w:val="002C32E0"/>
    <w:rsid w:val="002C496C"/>
    <w:rsid w:val="002C5FF6"/>
    <w:rsid w:val="002D18DE"/>
    <w:rsid w:val="002E0B77"/>
    <w:rsid w:val="002F074A"/>
    <w:rsid w:val="002F5F19"/>
    <w:rsid w:val="002F7E9C"/>
    <w:rsid w:val="00302186"/>
    <w:rsid w:val="00321060"/>
    <w:rsid w:val="0033605A"/>
    <w:rsid w:val="0035754D"/>
    <w:rsid w:val="00361F42"/>
    <w:rsid w:val="0036291A"/>
    <w:rsid w:val="003657A7"/>
    <w:rsid w:val="00376590"/>
    <w:rsid w:val="003861B0"/>
    <w:rsid w:val="00391C2C"/>
    <w:rsid w:val="00397353"/>
    <w:rsid w:val="003A0645"/>
    <w:rsid w:val="003A08B7"/>
    <w:rsid w:val="003A48E2"/>
    <w:rsid w:val="003B5B54"/>
    <w:rsid w:val="003C4C13"/>
    <w:rsid w:val="003E5554"/>
    <w:rsid w:val="003E7B97"/>
    <w:rsid w:val="003F1800"/>
    <w:rsid w:val="00415E7E"/>
    <w:rsid w:val="00424665"/>
    <w:rsid w:val="004611B0"/>
    <w:rsid w:val="0047359A"/>
    <w:rsid w:val="004743C4"/>
    <w:rsid w:val="00481D6C"/>
    <w:rsid w:val="004A1283"/>
    <w:rsid w:val="004A260E"/>
    <w:rsid w:val="004B0E9E"/>
    <w:rsid w:val="004C4B32"/>
    <w:rsid w:val="004D2C78"/>
    <w:rsid w:val="004D3DD3"/>
    <w:rsid w:val="004F1793"/>
    <w:rsid w:val="004F4FA8"/>
    <w:rsid w:val="00502704"/>
    <w:rsid w:val="00512BF4"/>
    <w:rsid w:val="00513B04"/>
    <w:rsid w:val="00541289"/>
    <w:rsid w:val="00542D16"/>
    <w:rsid w:val="00561C39"/>
    <w:rsid w:val="005642E3"/>
    <w:rsid w:val="005941CF"/>
    <w:rsid w:val="00597EFB"/>
    <w:rsid w:val="005D249A"/>
    <w:rsid w:val="005F19F1"/>
    <w:rsid w:val="005F1C4D"/>
    <w:rsid w:val="005F4DBF"/>
    <w:rsid w:val="005F5D91"/>
    <w:rsid w:val="005F7399"/>
    <w:rsid w:val="00601734"/>
    <w:rsid w:val="00614EC3"/>
    <w:rsid w:val="0064445D"/>
    <w:rsid w:val="006509A8"/>
    <w:rsid w:val="0065305C"/>
    <w:rsid w:val="00655A10"/>
    <w:rsid w:val="00664E24"/>
    <w:rsid w:val="00672149"/>
    <w:rsid w:val="00675F48"/>
    <w:rsid w:val="00681593"/>
    <w:rsid w:val="00683B43"/>
    <w:rsid w:val="00685850"/>
    <w:rsid w:val="00690978"/>
    <w:rsid w:val="00697C7E"/>
    <w:rsid w:val="006A3993"/>
    <w:rsid w:val="006D4FB0"/>
    <w:rsid w:val="006F7AD7"/>
    <w:rsid w:val="0070149E"/>
    <w:rsid w:val="00702B0E"/>
    <w:rsid w:val="00703691"/>
    <w:rsid w:val="00706582"/>
    <w:rsid w:val="00722B43"/>
    <w:rsid w:val="00725A0F"/>
    <w:rsid w:val="00766C70"/>
    <w:rsid w:val="007677A5"/>
    <w:rsid w:val="00767F9E"/>
    <w:rsid w:val="0077111E"/>
    <w:rsid w:val="007760E5"/>
    <w:rsid w:val="00781950"/>
    <w:rsid w:val="00783D98"/>
    <w:rsid w:val="00784C24"/>
    <w:rsid w:val="007852F2"/>
    <w:rsid w:val="007A00C1"/>
    <w:rsid w:val="007A0B78"/>
    <w:rsid w:val="007A2B3C"/>
    <w:rsid w:val="007A310A"/>
    <w:rsid w:val="007B1F7B"/>
    <w:rsid w:val="007C3645"/>
    <w:rsid w:val="007C4658"/>
    <w:rsid w:val="007D5C44"/>
    <w:rsid w:val="007E7370"/>
    <w:rsid w:val="007F5F0A"/>
    <w:rsid w:val="00801D1D"/>
    <w:rsid w:val="008121C5"/>
    <w:rsid w:val="00822B2A"/>
    <w:rsid w:val="00832BB0"/>
    <w:rsid w:val="00854B11"/>
    <w:rsid w:val="008558A2"/>
    <w:rsid w:val="00857402"/>
    <w:rsid w:val="008579EF"/>
    <w:rsid w:val="00872463"/>
    <w:rsid w:val="00892702"/>
    <w:rsid w:val="008A4EB5"/>
    <w:rsid w:val="008B5B48"/>
    <w:rsid w:val="008C0402"/>
    <w:rsid w:val="008C0CA3"/>
    <w:rsid w:val="008E5689"/>
    <w:rsid w:val="008E7885"/>
    <w:rsid w:val="008F2D6D"/>
    <w:rsid w:val="00904A88"/>
    <w:rsid w:val="0091082C"/>
    <w:rsid w:val="009230C3"/>
    <w:rsid w:val="00943FBC"/>
    <w:rsid w:val="00953C11"/>
    <w:rsid w:val="00955433"/>
    <w:rsid w:val="00955883"/>
    <w:rsid w:val="009632D1"/>
    <w:rsid w:val="00966DFD"/>
    <w:rsid w:val="00970DEE"/>
    <w:rsid w:val="00973943"/>
    <w:rsid w:val="00974021"/>
    <w:rsid w:val="009763B5"/>
    <w:rsid w:val="00976EB2"/>
    <w:rsid w:val="0098656B"/>
    <w:rsid w:val="009925FB"/>
    <w:rsid w:val="009A1707"/>
    <w:rsid w:val="009A3F64"/>
    <w:rsid w:val="009A65ED"/>
    <w:rsid w:val="009B3327"/>
    <w:rsid w:val="009B4EFB"/>
    <w:rsid w:val="009C2E29"/>
    <w:rsid w:val="009D05D0"/>
    <w:rsid w:val="009D4CA0"/>
    <w:rsid w:val="009D7FF0"/>
    <w:rsid w:val="009E5D2D"/>
    <w:rsid w:val="009E68A7"/>
    <w:rsid w:val="009E7E09"/>
    <w:rsid w:val="00A0501B"/>
    <w:rsid w:val="00A15565"/>
    <w:rsid w:val="00A20DA3"/>
    <w:rsid w:val="00A211C9"/>
    <w:rsid w:val="00A23E66"/>
    <w:rsid w:val="00A31C58"/>
    <w:rsid w:val="00A4331F"/>
    <w:rsid w:val="00A65A74"/>
    <w:rsid w:val="00A74328"/>
    <w:rsid w:val="00A76655"/>
    <w:rsid w:val="00A83FC6"/>
    <w:rsid w:val="00A84C7A"/>
    <w:rsid w:val="00A864CF"/>
    <w:rsid w:val="00AA0320"/>
    <w:rsid w:val="00AB777C"/>
    <w:rsid w:val="00AD22D4"/>
    <w:rsid w:val="00AE1E7E"/>
    <w:rsid w:val="00AE2DA2"/>
    <w:rsid w:val="00AF2186"/>
    <w:rsid w:val="00B30BC2"/>
    <w:rsid w:val="00B3196E"/>
    <w:rsid w:val="00B32E3F"/>
    <w:rsid w:val="00B451F2"/>
    <w:rsid w:val="00B51059"/>
    <w:rsid w:val="00B55927"/>
    <w:rsid w:val="00BA6166"/>
    <w:rsid w:val="00BB5244"/>
    <w:rsid w:val="00BD5921"/>
    <w:rsid w:val="00BD6F55"/>
    <w:rsid w:val="00BE750C"/>
    <w:rsid w:val="00C251C7"/>
    <w:rsid w:val="00C31B08"/>
    <w:rsid w:val="00C564AA"/>
    <w:rsid w:val="00C57E31"/>
    <w:rsid w:val="00C74532"/>
    <w:rsid w:val="00C81AC8"/>
    <w:rsid w:val="00C95D2D"/>
    <w:rsid w:val="00CD4394"/>
    <w:rsid w:val="00CE730A"/>
    <w:rsid w:val="00CF4F65"/>
    <w:rsid w:val="00D03387"/>
    <w:rsid w:val="00D038F7"/>
    <w:rsid w:val="00D2659A"/>
    <w:rsid w:val="00D272F7"/>
    <w:rsid w:val="00D3379F"/>
    <w:rsid w:val="00D87153"/>
    <w:rsid w:val="00D92380"/>
    <w:rsid w:val="00D92F25"/>
    <w:rsid w:val="00DB1556"/>
    <w:rsid w:val="00DB47E2"/>
    <w:rsid w:val="00DB56D8"/>
    <w:rsid w:val="00DC7E5D"/>
    <w:rsid w:val="00DD0803"/>
    <w:rsid w:val="00DD42E5"/>
    <w:rsid w:val="00DD7A96"/>
    <w:rsid w:val="00DE1448"/>
    <w:rsid w:val="00DE3092"/>
    <w:rsid w:val="00E00248"/>
    <w:rsid w:val="00E0440B"/>
    <w:rsid w:val="00E07D69"/>
    <w:rsid w:val="00E11591"/>
    <w:rsid w:val="00E17A93"/>
    <w:rsid w:val="00E4740D"/>
    <w:rsid w:val="00E54F29"/>
    <w:rsid w:val="00E621AD"/>
    <w:rsid w:val="00E65613"/>
    <w:rsid w:val="00E71F9D"/>
    <w:rsid w:val="00E7218F"/>
    <w:rsid w:val="00E75606"/>
    <w:rsid w:val="00E83F05"/>
    <w:rsid w:val="00EA7787"/>
    <w:rsid w:val="00EC6B7D"/>
    <w:rsid w:val="00ED1136"/>
    <w:rsid w:val="00EE1B17"/>
    <w:rsid w:val="00EE2D9C"/>
    <w:rsid w:val="00EE4C4E"/>
    <w:rsid w:val="00F03CEB"/>
    <w:rsid w:val="00F15175"/>
    <w:rsid w:val="00F166EE"/>
    <w:rsid w:val="00F54223"/>
    <w:rsid w:val="00F834A7"/>
    <w:rsid w:val="00F838F7"/>
    <w:rsid w:val="00F87F80"/>
    <w:rsid w:val="00FB316E"/>
    <w:rsid w:val="00FB3AC7"/>
    <w:rsid w:val="00FC53F9"/>
    <w:rsid w:val="00FC636E"/>
    <w:rsid w:val="00FE39B9"/>
    <w:rsid w:val="00FE39DD"/>
    <w:rsid w:val="00FE79AC"/>
    <w:rsid w:val="00FF0864"/>
    <w:rsid w:val="00FF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0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rFonts w:ascii="Arial" w:hAnsi="Arial"/>
      <w:b/>
      <w:sz w:val="3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Arial" w:hAnsi="Arial"/>
      <w:sz w:val="22"/>
      <w:u w:val="single"/>
    </w:rPr>
  </w:style>
  <w:style w:type="paragraph" w:styleId="BodyTextIndent">
    <w:name w:val="Body Text Indent"/>
    <w:basedOn w:val="Normal"/>
    <w:pPr>
      <w:ind w:left="720"/>
      <w:jc w:val="both"/>
    </w:pPr>
    <w:rPr>
      <w:rFonts w:ascii="Arial" w:hAnsi="Arial"/>
      <w:sz w:val="22"/>
      <w:u w:val="single"/>
    </w:rPr>
  </w:style>
  <w:style w:type="paragraph" w:styleId="BodyText2">
    <w:name w:val="Body Text 2"/>
    <w:basedOn w:val="Normal"/>
    <w:pPr>
      <w:tabs>
        <w:tab w:val="left" w:pos="-720"/>
      </w:tabs>
      <w:suppressAutoHyphens/>
      <w:jc w:val="both"/>
    </w:pPr>
    <w:rPr>
      <w:rFonts w:ascii="Arial" w:hAnsi="Arial"/>
      <w:sz w:val="22"/>
    </w:rPr>
  </w:style>
  <w:style w:type="paragraph" w:styleId="BalloonText">
    <w:name w:val="Balloon Text"/>
    <w:basedOn w:val="Normal"/>
    <w:semiHidden/>
    <w:rsid w:val="009763B5"/>
    <w:rPr>
      <w:rFonts w:ascii="Tahoma" w:hAnsi="Tahoma" w:cs="Tahoma"/>
      <w:sz w:val="16"/>
      <w:szCs w:val="16"/>
    </w:rPr>
  </w:style>
  <w:style w:type="paragraph" w:styleId="FootnoteText">
    <w:name w:val="footnote text"/>
    <w:basedOn w:val="Normal"/>
    <w:link w:val="FootnoteTextChar"/>
    <w:uiPriority w:val="99"/>
    <w:semiHidden/>
    <w:unhideWhenUsed/>
    <w:rsid w:val="00BE750C"/>
  </w:style>
  <w:style w:type="character" w:customStyle="1" w:styleId="FootnoteTextChar">
    <w:name w:val="Footnote Text Char"/>
    <w:basedOn w:val="DefaultParagraphFont"/>
    <w:link w:val="FootnoteText"/>
    <w:uiPriority w:val="99"/>
    <w:semiHidden/>
    <w:rsid w:val="00BE750C"/>
  </w:style>
  <w:style w:type="character" w:styleId="FootnoteReference">
    <w:name w:val="footnote reference"/>
    <w:uiPriority w:val="99"/>
    <w:semiHidden/>
    <w:unhideWhenUsed/>
    <w:rsid w:val="00BE750C"/>
    <w:rPr>
      <w:vertAlign w:val="superscript"/>
    </w:rPr>
  </w:style>
  <w:style w:type="paragraph" w:customStyle="1" w:styleId="ColorfulShading-Accent11">
    <w:name w:val="Colorful Shading - Accent 11"/>
    <w:hidden/>
    <w:uiPriority w:val="99"/>
    <w:semiHidden/>
    <w:rsid w:val="00BE750C"/>
  </w:style>
  <w:style w:type="character" w:styleId="CommentReference">
    <w:name w:val="annotation reference"/>
    <w:uiPriority w:val="99"/>
    <w:semiHidden/>
    <w:unhideWhenUsed/>
    <w:rsid w:val="00166835"/>
    <w:rPr>
      <w:sz w:val="16"/>
      <w:szCs w:val="16"/>
    </w:rPr>
  </w:style>
  <w:style w:type="paragraph" w:styleId="CommentText">
    <w:name w:val="annotation text"/>
    <w:basedOn w:val="Normal"/>
    <w:link w:val="CommentTextChar"/>
    <w:uiPriority w:val="99"/>
    <w:unhideWhenUsed/>
    <w:rsid w:val="00166835"/>
  </w:style>
  <w:style w:type="character" w:customStyle="1" w:styleId="CommentTextChar">
    <w:name w:val="Comment Text Char"/>
    <w:basedOn w:val="DefaultParagraphFont"/>
    <w:link w:val="CommentText"/>
    <w:uiPriority w:val="99"/>
    <w:rsid w:val="00166835"/>
  </w:style>
  <w:style w:type="paragraph" w:styleId="CommentSubject">
    <w:name w:val="annotation subject"/>
    <w:basedOn w:val="CommentText"/>
    <w:next w:val="CommentText"/>
    <w:link w:val="CommentSubjectChar"/>
    <w:uiPriority w:val="99"/>
    <w:semiHidden/>
    <w:unhideWhenUsed/>
    <w:rsid w:val="00166835"/>
    <w:rPr>
      <w:b/>
      <w:bCs/>
      <w:lang w:val="x-none" w:eastAsia="x-none"/>
    </w:rPr>
  </w:style>
  <w:style w:type="character" w:customStyle="1" w:styleId="CommentSubjectChar">
    <w:name w:val="Comment Subject Char"/>
    <w:link w:val="CommentSubject"/>
    <w:uiPriority w:val="99"/>
    <w:semiHidden/>
    <w:rsid w:val="00166835"/>
    <w:rPr>
      <w:b/>
      <w:bCs/>
    </w:rPr>
  </w:style>
  <w:style w:type="character" w:styleId="PlaceholderText">
    <w:name w:val="Placeholder Text"/>
    <w:basedOn w:val="DefaultParagraphFont"/>
    <w:uiPriority w:val="99"/>
    <w:unhideWhenUsed/>
    <w:rsid w:val="0033605A"/>
    <w:rPr>
      <w:color w:val="808080"/>
    </w:rPr>
  </w:style>
  <w:style w:type="paragraph" w:styleId="ListParagraph">
    <w:name w:val="List Paragraph"/>
    <w:basedOn w:val="Normal"/>
    <w:uiPriority w:val="72"/>
    <w:qFormat/>
    <w:rsid w:val="007760E5"/>
    <w:pPr>
      <w:ind w:left="720"/>
      <w:contextualSpacing/>
    </w:pPr>
  </w:style>
  <w:style w:type="paragraph" w:styleId="Revision">
    <w:name w:val="Revision"/>
    <w:hidden/>
    <w:uiPriority w:val="71"/>
    <w:semiHidden/>
    <w:rsid w:val="002F5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894503">
      <w:bodyDiv w:val="1"/>
      <w:marLeft w:val="0"/>
      <w:marRight w:val="0"/>
      <w:marTop w:val="0"/>
      <w:marBottom w:val="0"/>
      <w:divBdr>
        <w:top w:val="none" w:sz="0" w:space="0" w:color="auto"/>
        <w:left w:val="none" w:sz="0" w:space="0" w:color="auto"/>
        <w:bottom w:val="none" w:sz="0" w:space="0" w:color="auto"/>
        <w:right w:val="none" w:sz="0" w:space="0" w:color="auto"/>
      </w:divBdr>
    </w:div>
    <w:div w:id="1989161730">
      <w:bodyDiv w:val="1"/>
      <w:marLeft w:val="0"/>
      <w:marRight w:val="0"/>
      <w:marTop w:val="0"/>
      <w:marBottom w:val="0"/>
      <w:divBdr>
        <w:top w:val="none" w:sz="0" w:space="0" w:color="auto"/>
        <w:left w:val="none" w:sz="0" w:space="0" w:color="auto"/>
        <w:bottom w:val="none" w:sz="0" w:space="0" w:color="auto"/>
        <w:right w:val="none" w:sz="0" w:space="0" w:color="auto"/>
      </w:divBdr>
      <w:divsChild>
        <w:div w:id="396635489">
          <w:marLeft w:val="0"/>
          <w:marRight w:val="0"/>
          <w:marTop w:val="0"/>
          <w:marBottom w:val="0"/>
          <w:divBdr>
            <w:top w:val="none" w:sz="0" w:space="0" w:color="auto"/>
            <w:left w:val="none" w:sz="0" w:space="0" w:color="auto"/>
            <w:bottom w:val="none" w:sz="0" w:space="0" w:color="auto"/>
            <w:right w:val="none" w:sz="0" w:space="0" w:color="auto"/>
          </w:divBdr>
          <w:divsChild>
            <w:div w:id="19168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C04E8BCB-EBDC-4C82-AFE8-8F208F0C1584}"/>
</file>

<file path=customXml/itemProps2.xml><?xml version="1.0" encoding="utf-8"?>
<ds:datastoreItem xmlns:ds="http://schemas.openxmlformats.org/officeDocument/2006/customXml" ds:itemID="{2BDFC0D6-B263-48AD-8434-614542FA4E9F}"/>
</file>

<file path=customXml/itemProps3.xml><?xml version="1.0" encoding="utf-8"?>
<ds:datastoreItem xmlns:ds="http://schemas.openxmlformats.org/officeDocument/2006/customXml" ds:itemID="{22DEEE27-AB1E-46EE-A336-225F808409DD}"/>
</file>

<file path=docProps/app.xml><?xml version="1.0" encoding="utf-8"?>
<Properties xmlns="http://schemas.openxmlformats.org/officeDocument/2006/extended-properties" xmlns:vt="http://schemas.openxmlformats.org/officeDocument/2006/docPropsVTypes">
  <Template>Normal</Template>
  <TotalTime>0</TotalTime>
  <Pages>3</Pages>
  <Words>1479</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2025-11-02T03:46:00Z</dcterms:created>
  <dcterms:modified xsi:type="dcterms:W3CDTF">2025-11-02T03:46:00Z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220800</vt:r8>
  </property>
  <property fmtid="{D5CDD505-2E9C-101B-9397-08002B2CF9AE}" pid="3" name="MediaServiceImageTags">
    <vt:lpwstr/>
  </property>
  <property fmtid="{D5CDD505-2E9C-101B-9397-08002B2CF9AE}" pid="4" name="ContentTypeId">
    <vt:lpwstr>0x010100A1DDC338712AAF438B3B42F2A08579B3</vt:lpwstr>
  </property>
  <property fmtid="{D5CDD505-2E9C-101B-9397-08002B2CF9AE}" pid="5" name="docLang">
    <vt:lpwstr>en</vt:lpwstr>
  </property>
</Properties>
</file>