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5" w:type="dxa"/>
          <w:right w:w="105" w:type="dxa"/>
        </w:tblCellMar>
        <w:tblLook w:val="0000" w:firstRow="0" w:lastRow="0" w:firstColumn="0" w:lastColumn="0" w:noHBand="0" w:noVBand="0"/>
      </w:tblPr>
      <w:tblGrid>
        <w:gridCol w:w="4032"/>
        <w:gridCol w:w="5508"/>
      </w:tblGrid>
      <w:tr w:rsidR="00512B55" w:rsidRPr="00927926" w14:paraId="7263E55B" w14:textId="77777777" w:rsidTr="00A97C0C">
        <w:trPr>
          <w:cantSplit/>
          <w:trHeight w:hRule="exact" w:val="425"/>
          <w:tblHeader/>
          <w:jc w:val="center"/>
        </w:trPr>
        <w:tc>
          <w:tcPr>
            <w:tcW w:w="4032" w:type="dxa"/>
            <w:shd w:val="pct10" w:color="000000" w:fill="FFFFFF"/>
          </w:tcPr>
          <w:p w14:paraId="424EE6D1" w14:textId="77777777" w:rsidR="00512B55" w:rsidRPr="00927926" w:rsidRDefault="00512B55" w:rsidP="00927926">
            <w:pPr>
              <w:widowControl/>
              <w:tabs>
                <w:tab w:val="left" w:pos="432"/>
              </w:tabs>
              <w:spacing w:before="72" w:after="72" w:line="240" w:lineRule="exact"/>
              <w:rPr>
                <w:rFonts w:cs="Arial"/>
                <w:sz w:val="22"/>
                <w:szCs w:val="22"/>
              </w:rPr>
            </w:pPr>
            <w:r w:rsidRPr="00927926">
              <w:rPr>
                <w:rFonts w:cs="Arial"/>
                <w:sz w:val="22"/>
                <w:szCs w:val="22"/>
              </w:rPr>
              <w:t>TO DO</w:t>
            </w:r>
          </w:p>
        </w:tc>
        <w:tc>
          <w:tcPr>
            <w:tcW w:w="5508" w:type="dxa"/>
            <w:shd w:val="pct10" w:color="000000" w:fill="FFFFFF"/>
          </w:tcPr>
          <w:p w14:paraId="67F9BA10" w14:textId="77777777" w:rsidR="00512B55" w:rsidRPr="00927926" w:rsidRDefault="00512B55" w:rsidP="00927926">
            <w:pPr>
              <w:widowControl/>
              <w:tabs>
                <w:tab w:val="left" w:pos="432"/>
              </w:tabs>
              <w:spacing w:before="72" w:after="72" w:line="240" w:lineRule="exact"/>
              <w:rPr>
                <w:rFonts w:cs="Arial"/>
                <w:sz w:val="22"/>
                <w:szCs w:val="22"/>
              </w:rPr>
            </w:pPr>
            <w:r w:rsidRPr="00927926">
              <w:rPr>
                <w:rFonts w:cs="Arial"/>
                <w:sz w:val="22"/>
                <w:szCs w:val="22"/>
              </w:rPr>
              <w:t>CONSIDER</w:t>
            </w:r>
          </w:p>
        </w:tc>
      </w:tr>
      <w:tr w:rsidR="00512B55" w:rsidRPr="00927926" w14:paraId="1B1334D9" w14:textId="77777777" w:rsidTr="00A97C0C">
        <w:trPr>
          <w:cantSplit/>
          <w:trHeight w:val="142"/>
          <w:jc w:val="center"/>
        </w:trPr>
        <w:tc>
          <w:tcPr>
            <w:tcW w:w="4032" w:type="dxa"/>
          </w:tcPr>
          <w:p w14:paraId="7D62C353" w14:textId="77777777" w:rsidR="00512B55" w:rsidRPr="00927926" w:rsidRDefault="00512B55" w:rsidP="00927926">
            <w:pPr>
              <w:widowControl/>
              <w:tabs>
                <w:tab w:val="left" w:pos="-720"/>
                <w:tab w:val="left" w:pos="432"/>
              </w:tabs>
              <w:spacing w:before="72" w:after="72" w:line="240" w:lineRule="exact"/>
              <w:ind w:left="425" w:hanging="425"/>
              <w:rPr>
                <w:rFonts w:cs="Arial"/>
                <w:sz w:val="22"/>
                <w:szCs w:val="22"/>
              </w:rPr>
            </w:pPr>
            <w:r w:rsidRPr="00927926">
              <w:rPr>
                <w:rFonts w:cs="Arial"/>
                <w:sz w:val="22"/>
                <w:szCs w:val="22"/>
              </w:rPr>
              <w:t>1.</w:t>
            </w:r>
            <w:r w:rsidRPr="00927926">
              <w:rPr>
                <w:rFonts w:cs="Arial"/>
                <w:sz w:val="22"/>
                <w:szCs w:val="22"/>
              </w:rPr>
              <w:tab/>
              <w:t>Claimant’s name:</w:t>
            </w:r>
          </w:p>
        </w:tc>
        <w:tc>
          <w:tcPr>
            <w:tcW w:w="5508" w:type="dxa"/>
          </w:tcPr>
          <w:p w14:paraId="50EC3D50" w14:textId="77777777" w:rsidR="00512B55" w:rsidRPr="00927926" w:rsidRDefault="00FF4AD9" w:rsidP="00927926">
            <w:pPr>
              <w:widowControl/>
              <w:tabs>
                <w:tab w:val="left" w:pos="432"/>
              </w:tabs>
              <w:spacing w:before="72" w:after="72" w:line="240" w:lineRule="exact"/>
              <w:rPr>
                <w:rFonts w:cs="Arial"/>
                <w:sz w:val="22"/>
                <w:szCs w:val="22"/>
              </w:rPr>
            </w:pPr>
            <w:r w:rsidRPr="00927926">
              <w:rPr>
                <w:rFonts w:cs="Arial"/>
                <w:sz w:val="22"/>
                <w:szCs w:val="22"/>
              </w:rPr>
              <w:t>Research names using on</w:t>
            </w:r>
            <w:r w:rsidR="00512B55" w:rsidRPr="00927926">
              <w:rPr>
                <w:rFonts w:cs="Arial"/>
                <w:sz w:val="22"/>
                <w:szCs w:val="22"/>
              </w:rPr>
              <w:t>line records of Secretary of State and Construction Contractors Board (“CCB”)</w:t>
            </w:r>
            <w:r w:rsidR="00572C06" w:rsidRPr="00927926">
              <w:rPr>
                <w:rFonts w:cs="Arial"/>
                <w:sz w:val="22"/>
                <w:szCs w:val="22"/>
              </w:rPr>
              <w:t xml:space="preserve">. </w:t>
            </w:r>
          </w:p>
          <w:p w14:paraId="11F91123" w14:textId="77777777" w:rsidR="00512B55" w:rsidRPr="00927926" w:rsidRDefault="00512B55" w:rsidP="00927926">
            <w:pPr>
              <w:widowControl/>
              <w:tabs>
                <w:tab w:val="left" w:pos="432"/>
              </w:tabs>
              <w:spacing w:before="72" w:after="72" w:line="240" w:lineRule="exact"/>
              <w:rPr>
                <w:rFonts w:cs="Arial"/>
                <w:sz w:val="22"/>
                <w:szCs w:val="22"/>
              </w:rPr>
            </w:pPr>
            <w:r w:rsidRPr="00927926">
              <w:rPr>
                <w:rFonts w:cs="Arial"/>
                <w:sz w:val="22"/>
                <w:szCs w:val="22"/>
              </w:rPr>
              <w:t>Also, consider whether a license,</w:t>
            </w:r>
            <w:r w:rsidR="00515F59" w:rsidRPr="00927926">
              <w:rPr>
                <w:rFonts w:cs="Arial"/>
                <w:sz w:val="22"/>
                <w:szCs w:val="22"/>
              </w:rPr>
              <w:t xml:space="preserve"> license and proper</w:t>
            </w:r>
            <w:r w:rsidRPr="00927926">
              <w:rPr>
                <w:rFonts w:cs="Arial"/>
                <w:sz w:val="22"/>
                <w:szCs w:val="22"/>
              </w:rPr>
              <w:t xml:space="preserve"> endorsement, or registration is </w:t>
            </w:r>
            <w:proofErr w:type="gramStart"/>
            <w:r w:rsidRPr="00927926">
              <w:rPr>
                <w:rFonts w:cs="Arial"/>
                <w:sz w:val="22"/>
                <w:szCs w:val="22"/>
              </w:rPr>
              <w:t>required</w:t>
            </w:r>
            <w:proofErr w:type="gramEnd"/>
            <w:r w:rsidRPr="00927926">
              <w:rPr>
                <w:rFonts w:cs="Arial"/>
                <w:sz w:val="22"/>
                <w:szCs w:val="22"/>
              </w:rPr>
              <w:t xml:space="preserve"> for remedy</w:t>
            </w:r>
            <w:r w:rsidR="00572C06" w:rsidRPr="00927926">
              <w:rPr>
                <w:rFonts w:cs="Arial"/>
                <w:sz w:val="22"/>
                <w:szCs w:val="22"/>
              </w:rPr>
              <w:t xml:space="preserve">. </w:t>
            </w:r>
            <w:r w:rsidRPr="00927926">
              <w:rPr>
                <w:rFonts w:cs="Arial"/>
                <w:sz w:val="22"/>
                <w:szCs w:val="22"/>
              </w:rPr>
              <w:t xml:space="preserve">See </w:t>
            </w:r>
            <w:r w:rsidR="00572C06" w:rsidRPr="00927926">
              <w:rPr>
                <w:rFonts w:cs="Arial"/>
                <w:sz w:val="22"/>
                <w:szCs w:val="22"/>
              </w:rPr>
              <w:t>e.g.,</w:t>
            </w:r>
            <w:r w:rsidRPr="00927926">
              <w:rPr>
                <w:rFonts w:cs="Arial"/>
                <w:sz w:val="22"/>
                <w:szCs w:val="22"/>
              </w:rPr>
              <w:t xml:space="preserve"> ORS 701.131 (contractor license and endorsements); ORS 479.670 (electrical contractor license); ORS 447.070 (plumbing contractor license); ORS 480.640 (boiler/pressure vessel license); ORS 671.220(</w:t>
            </w:r>
            <w:r w:rsidR="003A54BB" w:rsidRPr="00927926">
              <w:rPr>
                <w:rFonts w:cs="Arial"/>
                <w:sz w:val="22"/>
                <w:szCs w:val="22"/>
              </w:rPr>
              <w:t>2</w:t>
            </w:r>
            <w:r w:rsidRPr="00927926">
              <w:rPr>
                <w:rFonts w:cs="Arial"/>
                <w:sz w:val="22"/>
                <w:szCs w:val="22"/>
              </w:rPr>
              <w:t>) (architect registration); and ORS 671.575 (Landscape contracting business license)</w:t>
            </w:r>
            <w:r w:rsidR="00572C06" w:rsidRPr="00927926">
              <w:rPr>
                <w:rFonts w:cs="Arial"/>
                <w:sz w:val="22"/>
                <w:szCs w:val="22"/>
              </w:rPr>
              <w:t xml:space="preserve">. </w:t>
            </w:r>
            <w:r w:rsidRPr="00927926">
              <w:rPr>
                <w:rFonts w:cs="Arial"/>
                <w:sz w:val="22"/>
                <w:szCs w:val="22"/>
              </w:rPr>
              <w:t xml:space="preserve">Information may </w:t>
            </w:r>
            <w:proofErr w:type="gramStart"/>
            <w:r w:rsidRPr="00927926">
              <w:rPr>
                <w:rFonts w:cs="Arial"/>
                <w:sz w:val="22"/>
                <w:szCs w:val="22"/>
              </w:rPr>
              <w:t>be found</w:t>
            </w:r>
            <w:proofErr w:type="gramEnd"/>
            <w:r w:rsidRPr="00927926">
              <w:rPr>
                <w:rFonts w:cs="Arial"/>
                <w:sz w:val="22"/>
                <w:szCs w:val="22"/>
              </w:rPr>
              <w:t xml:space="preserve"> online (</w:t>
            </w:r>
            <w:r w:rsidR="00572C06" w:rsidRPr="00927926">
              <w:rPr>
                <w:rFonts w:cs="Arial"/>
                <w:sz w:val="22"/>
                <w:szCs w:val="22"/>
              </w:rPr>
              <w:t>e.g.,</w:t>
            </w:r>
            <w:r w:rsidRPr="00927926">
              <w:rPr>
                <w:rFonts w:cs="Arial"/>
                <w:sz w:val="22"/>
                <w:szCs w:val="22"/>
              </w:rPr>
              <w:t xml:space="preserve"> websites of CCB, Building Codes Division, and Board of Architect Examiners)</w:t>
            </w:r>
            <w:r w:rsidR="00572C06" w:rsidRPr="00927926">
              <w:rPr>
                <w:rFonts w:cs="Arial"/>
                <w:sz w:val="22"/>
                <w:szCs w:val="22"/>
              </w:rPr>
              <w:t xml:space="preserve">. </w:t>
            </w:r>
          </w:p>
        </w:tc>
      </w:tr>
      <w:tr w:rsidR="00512B55" w:rsidRPr="00927926" w14:paraId="0874AA29" w14:textId="77777777" w:rsidTr="00A97C0C">
        <w:trPr>
          <w:cantSplit/>
          <w:trHeight w:val="142"/>
          <w:jc w:val="center"/>
        </w:trPr>
        <w:tc>
          <w:tcPr>
            <w:tcW w:w="4032" w:type="dxa"/>
          </w:tcPr>
          <w:p w14:paraId="4ADF2719" w14:textId="77777777" w:rsidR="00512B55" w:rsidRPr="00927926" w:rsidRDefault="00512B55" w:rsidP="00927926">
            <w:pPr>
              <w:widowControl/>
              <w:tabs>
                <w:tab w:val="left" w:pos="-720"/>
                <w:tab w:val="left" w:pos="432"/>
              </w:tabs>
              <w:spacing w:before="72" w:after="72" w:line="240" w:lineRule="exact"/>
              <w:ind w:left="425" w:hanging="425"/>
              <w:rPr>
                <w:rFonts w:cs="Arial"/>
                <w:sz w:val="22"/>
                <w:szCs w:val="22"/>
              </w:rPr>
            </w:pPr>
            <w:r w:rsidRPr="00927926">
              <w:rPr>
                <w:rFonts w:cs="Arial"/>
                <w:sz w:val="22"/>
                <w:szCs w:val="22"/>
              </w:rPr>
              <w:t>2.</w:t>
            </w:r>
            <w:r w:rsidRPr="00927926">
              <w:rPr>
                <w:rFonts w:cs="Arial"/>
                <w:sz w:val="22"/>
                <w:szCs w:val="22"/>
              </w:rPr>
              <w:tab/>
              <w:t>Name of person/entity that employed claimant:</w:t>
            </w:r>
          </w:p>
        </w:tc>
        <w:tc>
          <w:tcPr>
            <w:tcW w:w="5508" w:type="dxa"/>
          </w:tcPr>
          <w:p w14:paraId="6DEBC1BF" w14:textId="77777777" w:rsidR="00512B55" w:rsidRPr="00927926" w:rsidRDefault="00512B55" w:rsidP="00927926">
            <w:pPr>
              <w:pStyle w:val="BodyText"/>
              <w:tabs>
                <w:tab w:val="left" w:pos="432"/>
              </w:tabs>
              <w:rPr>
                <w:rFonts w:cs="Arial"/>
                <w:sz w:val="22"/>
                <w:szCs w:val="22"/>
              </w:rPr>
            </w:pPr>
            <w:r w:rsidRPr="00927926">
              <w:rPr>
                <w:rFonts w:cs="Arial"/>
                <w:sz w:val="22"/>
                <w:szCs w:val="22"/>
              </w:rPr>
              <w:t>See 1 above</w:t>
            </w:r>
            <w:r w:rsidR="00572C06" w:rsidRPr="00927926">
              <w:rPr>
                <w:rFonts w:cs="Arial"/>
                <w:sz w:val="22"/>
                <w:szCs w:val="22"/>
              </w:rPr>
              <w:t xml:space="preserve">. </w:t>
            </w:r>
            <w:r w:rsidRPr="00927926">
              <w:rPr>
                <w:rFonts w:cs="Arial"/>
                <w:sz w:val="22"/>
                <w:szCs w:val="22"/>
              </w:rPr>
              <w:t>Also review contracts, invoices, credit applications, and payments</w:t>
            </w:r>
            <w:r w:rsidR="00572C06" w:rsidRPr="00927926">
              <w:rPr>
                <w:rFonts w:cs="Arial"/>
                <w:sz w:val="22"/>
                <w:szCs w:val="22"/>
              </w:rPr>
              <w:t xml:space="preserve">. </w:t>
            </w:r>
          </w:p>
        </w:tc>
      </w:tr>
      <w:tr w:rsidR="00512B55" w:rsidRPr="00927926" w14:paraId="2AA06268" w14:textId="77777777" w:rsidTr="00A97C0C">
        <w:trPr>
          <w:cantSplit/>
          <w:trHeight w:val="142"/>
          <w:jc w:val="center"/>
        </w:trPr>
        <w:tc>
          <w:tcPr>
            <w:tcW w:w="4032" w:type="dxa"/>
          </w:tcPr>
          <w:p w14:paraId="58BA3933" w14:textId="7C50B36D" w:rsidR="00512B55" w:rsidRPr="00927926" w:rsidRDefault="00512B55" w:rsidP="00A97C0C">
            <w:pPr>
              <w:widowControl/>
              <w:tabs>
                <w:tab w:val="left" w:pos="-720"/>
                <w:tab w:val="left" w:pos="432"/>
              </w:tabs>
              <w:spacing w:before="72" w:line="240" w:lineRule="exact"/>
              <w:rPr>
                <w:rFonts w:cs="Arial"/>
                <w:sz w:val="22"/>
                <w:szCs w:val="22"/>
              </w:rPr>
            </w:pPr>
            <w:r w:rsidRPr="00927926">
              <w:rPr>
                <w:rFonts w:cs="Arial"/>
                <w:sz w:val="22"/>
                <w:szCs w:val="22"/>
              </w:rPr>
              <w:t>3.</w:t>
            </w:r>
            <w:r w:rsidRPr="00927926">
              <w:rPr>
                <w:rFonts w:cs="Arial"/>
                <w:sz w:val="22"/>
                <w:szCs w:val="22"/>
              </w:rPr>
              <w:tab/>
              <w:t xml:space="preserve">Name of contractor who </w:t>
            </w:r>
            <w:proofErr w:type="gramStart"/>
            <w:r w:rsidRPr="00927926">
              <w:rPr>
                <w:rFonts w:cs="Arial"/>
                <w:sz w:val="22"/>
                <w:szCs w:val="22"/>
              </w:rPr>
              <w:t>acquired</w:t>
            </w:r>
            <w:proofErr w:type="gramEnd"/>
            <w:r w:rsidRPr="00927926">
              <w:rPr>
                <w:rFonts w:cs="Arial"/>
                <w:sz w:val="22"/>
                <w:szCs w:val="22"/>
              </w:rPr>
              <w:t xml:space="preserve"> the bond (</w:t>
            </w:r>
            <w:r w:rsidR="00572C06" w:rsidRPr="00927926">
              <w:rPr>
                <w:rFonts w:cs="Arial"/>
                <w:sz w:val="22"/>
                <w:szCs w:val="22"/>
              </w:rPr>
              <w:t>i.e.,</w:t>
            </w:r>
            <w:r w:rsidRPr="00927926">
              <w:rPr>
                <w:rFonts w:cs="Arial"/>
                <w:sz w:val="22"/>
                <w:szCs w:val="22"/>
              </w:rPr>
              <w:t xml:space="preserve"> prime/general contractor):</w:t>
            </w:r>
          </w:p>
        </w:tc>
        <w:tc>
          <w:tcPr>
            <w:tcW w:w="5508" w:type="dxa"/>
          </w:tcPr>
          <w:p w14:paraId="7B313A8E" w14:textId="77777777" w:rsidR="00512B55" w:rsidRPr="00927926" w:rsidRDefault="00512B55" w:rsidP="00927926">
            <w:pPr>
              <w:rPr>
                <w:rFonts w:cs="Arial"/>
                <w:sz w:val="22"/>
                <w:szCs w:val="22"/>
              </w:rPr>
            </w:pPr>
            <w:r w:rsidRPr="00927926">
              <w:rPr>
                <w:rFonts w:cs="Arial"/>
                <w:sz w:val="22"/>
                <w:szCs w:val="22"/>
              </w:rPr>
              <w:t>Not all public works contracts require a bond</w:t>
            </w:r>
            <w:r w:rsidR="00572C06" w:rsidRPr="00927926">
              <w:rPr>
                <w:rFonts w:cs="Arial"/>
                <w:sz w:val="22"/>
                <w:szCs w:val="22"/>
              </w:rPr>
              <w:t xml:space="preserve">. </w:t>
            </w:r>
            <w:r w:rsidRPr="00927926">
              <w:rPr>
                <w:rFonts w:cs="Arial"/>
                <w:sz w:val="22"/>
                <w:szCs w:val="22"/>
              </w:rPr>
              <w:t>See ORS 279C.380(5)</w:t>
            </w:r>
            <w:r w:rsidR="00572C06" w:rsidRPr="00927926">
              <w:rPr>
                <w:rFonts w:cs="Arial"/>
                <w:sz w:val="22"/>
                <w:szCs w:val="22"/>
              </w:rPr>
              <w:t xml:space="preserve">. </w:t>
            </w:r>
            <w:r w:rsidRPr="00927926">
              <w:rPr>
                <w:rFonts w:cs="Arial"/>
                <w:sz w:val="22"/>
                <w:szCs w:val="22"/>
              </w:rPr>
              <w:t>Confirm payment bond exists and obtain a copy</w:t>
            </w:r>
            <w:r w:rsidR="00572C06" w:rsidRPr="00927926">
              <w:rPr>
                <w:rFonts w:cs="Arial"/>
                <w:sz w:val="22"/>
                <w:szCs w:val="22"/>
              </w:rPr>
              <w:t xml:space="preserve">. </w:t>
            </w:r>
            <w:r w:rsidRPr="00927926">
              <w:rPr>
                <w:rFonts w:cs="Arial"/>
                <w:sz w:val="22"/>
                <w:szCs w:val="22"/>
              </w:rPr>
              <w:t xml:space="preserve">If necessary, use Oregon Public Records Request to obtain. </w:t>
            </w:r>
          </w:p>
        </w:tc>
      </w:tr>
      <w:tr w:rsidR="00512B55" w:rsidRPr="00927926" w14:paraId="00774275" w14:textId="77777777" w:rsidTr="00A97C0C">
        <w:trPr>
          <w:cantSplit/>
          <w:trHeight w:val="142"/>
          <w:jc w:val="center"/>
        </w:trPr>
        <w:tc>
          <w:tcPr>
            <w:tcW w:w="4032" w:type="dxa"/>
          </w:tcPr>
          <w:p w14:paraId="65EBFD54"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4.</w:t>
            </w:r>
            <w:r w:rsidRPr="00927926">
              <w:rPr>
                <w:rFonts w:cs="Arial"/>
                <w:sz w:val="22"/>
                <w:szCs w:val="22"/>
              </w:rPr>
              <w:tab/>
              <w:t>Name of contracting agency that let contract:</w:t>
            </w:r>
          </w:p>
          <w:p w14:paraId="29627FA5"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t>(State agency, county, city, etc.)</w:t>
            </w:r>
          </w:p>
        </w:tc>
        <w:tc>
          <w:tcPr>
            <w:tcW w:w="5508" w:type="dxa"/>
          </w:tcPr>
          <w:p w14:paraId="42C7A7A5" w14:textId="77777777" w:rsidR="00512B55" w:rsidRPr="00927926" w:rsidRDefault="00512B55" w:rsidP="00927926">
            <w:pPr>
              <w:widowControl/>
              <w:tabs>
                <w:tab w:val="left" w:pos="-720"/>
                <w:tab w:val="left" w:pos="432"/>
              </w:tabs>
              <w:spacing w:before="72" w:after="72" w:line="240" w:lineRule="exact"/>
              <w:rPr>
                <w:rFonts w:cs="Arial"/>
                <w:sz w:val="22"/>
                <w:szCs w:val="22"/>
              </w:rPr>
            </w:pPr>
            <w:proofErr w:type="gramStart"/>
            <w:r w:rsidRPr="00927926">
              <w:rPr>
                <w:rFonts w:cs="Arial"/>
                <w:sz w:val="22"/>
                <w:szCs w:val="22"/>
              </w:rPr>
              <w:t>”Contracting</w:t>
            </w:r>
            <w:proofErr w:type="gramEnd"/>
            <w:r w:rsidRPr="00927926">
              <w:rPr>
                <w:rFonts w:cs="Arial"/>
                <w:sz w:val="22"/>
                <w:szCs w:val="22"/>
              </w:rPr>
              <w:t xml:space="preserve"> agency” means a public body authorized by law to conduct a procurement, including but not limited to, the Director of the Oregon Department of Administrative Services and any person authorized by a contracting agency to conduct a procurement on the contracting agency’s behalf. See ORS 279A.010(1)(b) (applicable to ORS Chapter 279C).</w:t>
            </w:r>
            <w:r w:rsidR="0053655A" w:rsidRPr="00927926">
              <w:rPr>
                <w:rFonts w:cs="Arial"/>
                <w:sz w:val="22"/>
                <w:szCs w:val="22"/>
              </w:rPr>
              <w:t xml:space="preserve"> </w:t>
            </w:r>
            <w:r w:rsidR="0053655A" w:rsidRPr="00927926">
              <w:rPr>
                <w:rFonts w:cs="Arial"/>
                <w:i/>
                <w:iCs/>
                <w:sz w:val="22"/>
                <w:szCs w:val="22"/>
              </w:rPr>
              <w:t xml:space="preserve">See also State ex </w:t>
            </w:r>
            <w:r w:rsidR="00572C06" w:rsidRPr="00927926">
              <w:rPr>
                <w:rFonts w:cs="Arial"/>
                <w:i/>
                <w:iCs/>
                <w:sz w:val="22"/>
                <w:szCs w:val="22"/>
              </w:rPr>
              <w:t xml:space="preserve">rel. </w:t>
            </w:r>
            <w:r w:rsidR="0053655A" w:rsidRPr="00927926">
              <w:rPr>
                <w:rFonts w:cs="Arial"/>
                <w:i/>
                <w:iCs/>
                <w:sz w:val="22"/>
                <w:szCs w:val="22"/>
              </w:rPr>
              <w:t>Robert Warren Trucking, LLC v. Smith &amp; Smith Excavation, Inc</w:t>
            </w:r>
            <w:r w:rsidR="0053655A" w:rsidRPr="00927926">
              <w:rPr>
                <w:rFonts w:cs="Arial"/>
                <w:sz w:val="22"/>
                <w:szCs w:val="22"/>
              </w:rPr>
              <w:t>., 280 Or. App. 766</w:t>
            </w:r>
            <w:r w:rsidR="00314F86" w:rsidRPr="00927926">
              <w:rPr>
                <w:rFonts w:cs="Arial"/>
                <w:sz w:val="22"/>
                <w:szCs w:val="22"/>
              </w:rPr>
              <w:t>, 773-776</w:t>
            </w:r>
            <w:r w:rsidR="0053655A" w:rsidRPr="00927926">
              <w:rPr>
                <w:rFonts w:cs="Arial"/>
                <w:sz w:val="22"/>
                <w:szCs w:val="22"/>
              </w:rPr>
              <w:t xml:space="preserve"> (2016) (interplay of federal funding with Oregon public works statutes).</w:t>
            </w:r>
          </w:p>
        </w:tc>
      </w:tr>
      <w:tr w:rsidR="00512B55" w:rsidRPr="00927926" w14:paraId="03BA75BE" w14:textId="77777777" w:rsidTr="00A97C0C">
        <w:trPr>
          <w:cantSplit/>
          <w:trHeight w:val="142"/>
          <w:jc w:val="center"/>
        </w:trPr>
        <w:tc>
          <w:tcPr>
            <w:tcW w:w="4032" w:type="dxa"/>
          </w:tcPr>
          <w:p w14:paraId="7A3D29FD"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5.</w:t>
            </w:r>
            <w:r w:rsidRPr="00927926">
              <w:rPr>
                <w:rFonts w:cs="Arial"/>
                <w:sz w:val="22"/>
                <w:szCs w:val="22"/>
              </w:rPr>
              <w:tab/>
              <w:t xml:space="preserve">All names confirmed with:  </w:t>
            </w:r>
          </w:p>
          <w:p w14:paraId="1780C48D" w14:textId="0EF02CBB"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Secretary of </w:t>
            </w:r>
            <w:proofErr w:type="gramStart"/>
            <w:r w:rsidRPr="00927926">
              <w:rPr>
                <w:rFonts w:cs="Arial"/>
                <w:sz w:val="22"/>
                <w:szCs w:val="22"/>
              </w:rPr>
              <w:t xml:space="preserve">State  </w:t>
            </w:r>
            <w:r w:rsidRPr="00927926">
              <w:rPr>
                <w:rFonts w:cs="Arial"/>
                <w:sz w:val="22"/>
                <w:szCs w:val="22"/>
              </w:rPr>
              <w:tab/>
            </w:r>
            <w:proofErr w:type="gramEnd"/>
            <w:r w:rsidRPr="00927926">
              <w:rPr>
                <w:rFonts w:cs="Arial"/>
                <w:sz w:val="22"/>
                <w:szCs w:val="22"/>
              </w:rPr>
              <w:sym w:font="Wingdings" w:char="F072"/>
            </w:r>
          </w:p>
          <w:p w14:paraId="42011AFB" w14:textId="5EB8439D" w:rsidR="00512B55" w:rsidRPr="00927926" w:rsidRDefault="00345D72" w:rsidP="00A97C0C">
            <w:pPr>
              <w:widowControl/>
              <w:tabs>
                <w:tab w:val="left" w:pos="-720"/>
                <w:tab w:val="left" w:pos="432"/>
              </w:tabs>
              <w:spacing w:before="72" w:after="72" w:line="240" w:lineRule="exact"/>
              <w:rPr>
                <w:rFonts w:cs="Arial"/>
                <w:sz w:val="22"/>
                <w:szCs w:val="22"/>
              </w:rPr>
            </w:pPr>
            <w:r>
              <w:rPr>
                <w:rFonts w:cs="Arial"/>
                <w:sz w:val="22"/>
                <w:szCs w:val="22"/>
              </w:rPr>
              <w:t xml:space="preserve">     </w:t>
            </w:r>
            <w:r w:rsidR="00512B55" w:rsidRPr="00927926">
              <w:rPr>
                <w:rFonts w:cs="Arial"/>
                <w:sz w:val="22"/>
                <w:szCs w:val="22"/>
              </w:rPr>
              <w:t xml:space="preserve"> CCB</w:t>
            </w:r>
            <w:r w:rsidR="00512B55" w:rsidRPr="00927926">
              <w:rPr>
                <w:rFonts w:cs="Arial"/>
                <w:sz w:val="22"/>
                <w:szCs w:val="22"/>
              </w:rPr>
              <w:tab/>
            </w:r>
            <w:r w:rsidR="00512B55" w:rsidRPr="00927926">
              <w:rPr>
                <w:rFonts w:cs="Arial"/>
                <w:sz w:val="22"/>
                <w:szCs w:val="22"/>
              </w:rPr>
              <w:tab/>
            </w:r>
            <w:r w:rsidR="00512B55" w:rsidRPr="00927926">
              <w:rPr>
                <w:rFonts w:cs="Arial"/>
                <w:sz w:val="22"/>
                <w:szCs w:val="22"/>
              </w:rPr>
              <w:tab/>
            </w:r>
            <w:r w:rsidR="00512B55" w:rsidRPr="00927926">
              <w:rPr>
                <w:rFonts w:cs="Arial"/>
                <w:sz w:val="22"/>
                <w:szCs w:val="22"/>
              </w:rPr>
              <w:sym w:font="Wingdings" w:char="F072"/>
            </w:r>
          </w:p>
        </w:tc>
        <w:tc>
          <w:tcPr>
            <w:tcW w:w="5508" w:type="dxa"/>
          </w:tcPr>
          <w:p w14:paraId="3F74ED25"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Is the information the same?  Are there any </w:t>
            </w:r>
            <w:r w:rsidR="003A54BB" w:rsidRPr="00927926">
              <w:rPr>
                <w:rFonts w:cs="Arial"/>
                <w:sz w:val="22"/>
                <w:szCs w:val="22"/>
              </w:rPr>
              <w:t xml:space="preserve">license or endorsement </w:t>
            </w:r>
            <w:r w:rsidRPr="00927926">
              <w:rPr>
                <w:rFonts w:cs="Arial"/>
                <w:sz w:val="22"/>
                <w:szCs w:val="22"/>
              </w:rPr>
              <w:t>issues?</w:t>
            </w:r>
            <w:r w:rsidR="003A54BB" w:rsidRPr="00927926">
              <w:rPr>
                <w:rFonts w:cs="Arial"/>
                <w:sz w:val="22"/>
                <w:szCs w:val="22"/>
              </w:rPr>
              <w:t xml:space="preserve">  See ORS 701.131.</w:t>
            </w:r>
          </w:p>
        </w:tc>
      </w:tr>
      <w:tr w:rsidR="00512B55" w:rsidRPr="00927926" w14:paraId="18D63BE5" w14:textId="77777777" w:rsidTr="00A97C0C">
        <w:trPr>
          <w:cantSplit/>
          <w:trHeight w:val="142"/>
          <w:jc w:val="center"/>
        </w:trPr>
        <w:tc>
          <w:tcPr>
            <w:tcW w:w="4032" w:type="dxa"/>
          </w:tcPr>
          <w:p w14:paraId="2343B093"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6.</w:t>
            </w:r>
            <w:r w:rsidRPr="00927926">
              <w:rPr>
                <w:rFonts w:cs="Arial"/>
                <w:sz w:val="22"/>
                <w:szCs w:val="22"/>
              </w:rPr>
              <w:tab/>
              <w:t>Type of construction:</w:t>
            </w:r>
            <w:r w:rsidRPr="00927926">
              <w:rPr>
                <w:rFonts w:cs="Arial"/>
                <w:sz w:val="22"/>
                <w:szCs w:val="22"/>
              </w:rPr>
              <w:tab/>
            </w:r>
          </w:p>
        </w:tc>
        <w:tc>
          <w:tcPr>
            <w:tcW w:w="5508" w:type="dxa"/>
          </w:tcPr>
          <w:p w14:paraId="76D9B3DE"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See 3 above</w:t>
            </w:r>
            <w:r w:rsidR="00AD4621" w:rsidRPr="00927926">
              <w:rPr>
                <w:rFonts w:cs="Arial"/>
                <w:sz w:val="22"/>
                <w:szCs w:val="22"/>
              </w:rPr>
              <w:t xml:space="preserve"> and ORS 279A.</w:t>
            </w:r>
            <w:r w:rsidR="003A54BB" w:rsidRPr="00927926">
              <w:rPr>
                <w:rFonts w:cs="Arial"/>
                <w:sz w:val="22"/>
                <w:szCs w:val="22"/>
              </w:rPr>
              <w:t>010</w:t>
            </w:r>
            <w:r w:rsidR="00AD4621" w:rsidRPr="00927926">
              <w:rPr>
                <w:rFonts w:cs="Arial"/>
                <w:sz w:val="22"/>
                <w:szCs w:val="22"/>
              </w:rPr>
              <w:t>(cc) (definition of “public improvement”) and (dd) (definition of “public improvement contract”)</w:t>
            </w:r>
            <w:r w:rsidRPr="00927926">
              <w:rPr>
                <w:rFonts w:cs="Arial"/>
                <w:sz w:val="22"/>
                <w:szCs w:val="22"/>
              </w:rPr>
              <w:t>.</w:t>
            </w:r>
          </w:p>
        </w:tc>
      </w:tr>
      <w:tr w:rsidR="00512B55" w:rsidRPr="00927926" w14:paraId="05C4D5EF" w14:textId="77777777" w:rsidTr="00A97C0C">
        <w:trPr>
          <w:cantSplit/>
          <w:trHeight w:val="142"/>
          <w:jc w:val="center"/>
        </w:trPr>
        <w:tc>
          <w:tcPr>
            <w:tcW w:w="4032" w:type="dxa"/>
          </w:tcPr>
          <w:p w14:paraId="0DAFC848" w14:textId="77777777" w:rsidR="00345D72" w:rsidRDefault="00512B55" w:rsidP="00927926">
            <w:pPr>
              <w:widowControl/>
              <w:tabs>
                <w:tab w:val="left" w:pos="-720"/>
                <w:tab w:val="left" w:pos="432"/>
              </w:tabs>
              <w:spacing w:before="72" w:after="72" w:line="240" w:lineRule="exact"/>
              <w:ind w:left="2904" w:hanging="2904"/>
              <w:rPr>
                <w:rFonts w:cs="Arial"/>
                <w:sz w:val="22"/>
                <w:szCs w:val="22"/>
              </w:rPr>
            </w:pPr>
            <w:r w:rsidRPr="00927926">
              <w:rPr>
                <w:rFonts w:cs="Arial"/>
                <w:sz w:val="22"/>
                <w:szCs w:val="22"/>
              </w:rPr>
              <w:t>7.</w:t>
            </w:r>
            <w:r w:rsidRPr="00927926">
              <w:rPr>
                <w:rFonts w:cs="Arial"/>
                <w:sz w:val="22"/>
                <w:szCs w:val="22"/>
              </w:rPr>
              <w:tab/>
              <w:t>Claimant</w:t>
            </w:r>
            <w:r w:rsidR="00B9220C" w:rsidRPr="00927926">
              <w:rPr>
                <w:rFonts w:cs="Arial"/>
                <w:sz w:val="22"/>
                <w:szCs w:val="22"/>
              </w:rPr>
              <w:t xml:space="preserve"> provided:</w:t>
            </w:r>
            <w:r w:rsidR="00B9220C" w:rsidRPr="00927926">
              <w:rPr>
                <w:rFonts w:cs="Arial"/>
                <w:sz w:val="22"/>
                <w:szCs w:val="22"/>
              </w:rPr>
              <w:tab/>
            </w:r>
          </w:p>
          <w:p w14:paraId="6DC47790" w14:textId="2EF0B436" w:rsidR="00512B55" w:rsidRPr="00927926" w:rsidRDefault="00512B55" w:rsidP="00A97C0C">
            <w:pPr>
              <w:widowControl/>
              <w:tabs>
                <w:tab w:val="left" w:pos="-720"/>
                <w:tab w:val="left" w:pos="432"/>
              </w:tabs>
              <w:spacing w:before="72" w:after="72" w:line="240" w:lineRule="exact"/>
              <w:ind w:left="2940" w:hanging="2940"/>
              <w:rPr>
                <w:rFonts w:cs="Arial"/>
                <w:sz w:val="22"/>
                <w:szCs w:val="22"/>
              </w:rPr>
            </w:pPr>
            <w:r w:rsidRPr="00927926">
              <w:rPr>
                <w:rFonts w:cs="Arial"/>
                <w:sz w:val="22"/>
                <w:szCs w:val="22"/>
              </w:rPr>
              <w:t>Labor</w:t>
            </w:r>
            <w:r w:rsidRPr="00927926">
              <w:rPr>
                <w:rFonts w:cs="Arial"/>
                <w:sz w:val="22"/>
                <w:szCs w:val="22"/>
              </w:rPr>
              <w:tab/>
            </w:r>
            <w:r w:rsidRPr="00927926">
              <w:rPr>
                <w:rFonts w:cs="Arial"/>
                <w:sz w:val="22"/>
                <w:szCs w:val="22"/>
              </w:rPr>
              <w:sym w:font="Wingdings" w:char="F072"/>
            </w:r>
          </w:p>
          <w:p w14:paraId="252BB212" w14:textId="77777777" w:rsidR="00512B55" w:rsidRPr="00927926" w:rsidRDefault="00512B55" w:rsidP="00A97C0C">
            <w:pPr>
              <w:widowControl/>
              <w:tabs>
                <w:tab w:val="left" w:pos="-720"/>
                <w:tab w:val="left" w:pos="432"/>
                <w:tab w:val="left" w:pos="2940"/>
              </w:tabs>
              <w:spacing w:before="72" w:after="72" w:line="240" w:lineRule="exact"/>
              <w:rPr>
                <w:rFonts w:cs="Arial"/>
                <w:sz w:val="22"/>
                <w:szCs w:val="22"/>
              </w:rPr>
            </w:pPr>
            <w:r w:rsidRPr="00927926">
              <w:rPr>
                <w:rFonts w:cs="Arial"/>
                <w:sz w:val="22"/>
                <w:szCs w:val="22"/>
              </w:rPr>
              <w:t>Materials</w:t>
            </w:r>
            <w:r w:rsidRPr="00927926">
              <w:rPr>
                <w:rFonts w:cs="Arial"/>
                <w:sz w:val="22"/>
                <w:szCs w:val="22"/>
              </w:rPr>
              <w:tab/>
            </w:r>
            <w:r w:rsidRPr="00927926">
              <w:rPr>
                <w:rFonts w:cs="Arial"/>
                <w:sz w:val="22"/>
                <w:szCs w:val="22"/>
              </w:rPr>
              <w:sym w:font="Wingdings" w:char="F072"/>
            </w:r>
          </w:p>
          <w:p w14:paraId="185B1F9A" w14:textId="77777777" w:rsidR="00512B55" w:rsidRPr="00927926" w:rsidRDefault="00512B55" w:rsidP="00A97C0C">
            <w:pPr>
              <w:widowControl/>
              <w:tabs>
                <w:tab w:val="left" w:pos="-720"/>
                <w:tab w:val="left" w:pos="432"/>
                <w:tab w:val="left" w:pos="2940"/>
              </w:tabs>
              <w:spacing w:before="72" w:after="72" w:line="240" w:lineRule="exact"/>
              <w:rPr>
                <w:rFonts w:cs="Arial"/>
                <w:sz w:val="22"/>
                <w:szCs w:val="22"/>
              </w:rPr>
            </w:pPr>
            <w:r w:rsidRPr="00927926">
              <w:rPr>
                <w:rFonts w:cs="Arial"/>
                <w:sz w:val="22"/>
                <w:szCs w:val="22"/>
              </w:rPr>
              <w:t>Rental Equipment</w:t>
            </w:r>
            <w:r w:rsidRPr="00927926">
              <w:rPr>
                <w:rFonts w:cs="Arial"/>
                <w:sz w:val="22"/>
                <w:szCs w:val="22"/>
              </w:rPr>
              <w:tab/>
            </w:r>
            <w:r w:rsidRPr="00927926">
              <w:rPr>
                <w:rFonts w:cs="Arial"/>
                <w:sz w:val="22"/>
                <w:szCs w:val="22"/>
              </w:rPr>
              <w:sym w:font="Wingdings" w:char="F072"/>
            </w:r>
          </w:p>
          <w:p w14:paraId="7AD82039" w14:textId="633E50E2" w:rsidR="00512B55" w:rsidRPr="00927926" w:rsidRDefault="00512B55" w:rsidP="00A97C0C">
            <w:pPr>
              <w:widowControl/>
              <w:tabs>
                <w:tab w:val="left" w:pos="-720"/>
                <w:tab w:val="left" w:pos="432"/>
                <w:tab w:val="left" w:pos="2940"/>
                <w:tab w:val="left" w:pos="4299"/>
              </w:tabs>
              <w:spacing w:before="72" w:after="72" w:line="240" w:lineRule="exact"/>
              <w:rPr>
                <w:rFonts w:cs="Arial"/>
                <w:sz w:val="22"/>
                <w:szCs w:val="22"/>
              </w:rPr>
            </w:pPr>
            <w:r w:rsidRPr="00927926">
              <w:rPr>
                <w:rFonts w:cs="Arial"/>
                <w:sz w:val="22"/>
                <w:szCs w:val="22"/>
              </w:rPr>
              <w:t>Professional Services</w:t>
            </w:r>
            <w:r w:rsidR="00662F04">
              <w:rPr>
                <w:rFonts w:cs="Arial"/>
                <w:sz w:val="22"/>
                <w:szCs w:val="22"/>
              </w:rPr>
              <w:tab/>
            </w:r>
            <w:r w:rsidRPr="00927926">
              <w:rPr>
                <w:rFonts w:cs="Arial"/>
                <w:sz w:val="22"/>
                <w:szCs w:val="22"/>
              </w:rPr>
              <w:sym w:font="Wingdings" w:char="F072"/>
            </w:r>
          </w:p>
        </w:tc>
        <w:tc>
          <w:tcPr>
            <w:tcW w:w="5508" w:type="dxa"/>
          </w:tcPr>
          <w:p w14:paraId="50591D46"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Review </w:t>
            </w:r>
            <w:r w:rsidRPr="00927926">
              <w:rPr>
                <w:rFonts w:cs="Arial"/>
                <w:i/>
                <w:sz w:val="22"/>
                <w:szCs w:val="22"/>
              </w:rPr>
              <w:t xml:space="preserve">Multnomah Co. v. United States, </w:t>
            </w:r>
            <w:r w:rsidRPr="00927926">
              <w:rPr>
                <w:rFonts w:cs="Arial"/>
                <w:sz w:val="22"/>
                <w:szCs w:val="22"/>
              </w:rPr>
              <w:t>87 Or 198 (1918)</w:t>
            </w:r>
            <w:r w:rsidR="00572C06" w:rsidRPr="00927926">
              <w:rPr>
                <w:rFonts w:cs="Arial"/>
                <w:sz w:val="22"/>
                <w:szCs w:val="22"/>
              </w:rPr>
              <w:t xml:space="preserve">. </w:t>
            </w:r>
            <w:r w:rsidRPr="00927926">
              <w:rPr>
                <w:rFonts w:cs="Arial"/>
                <w:sz w:val="22"/>
                <w:szCs w:val="22"/>
              </w:rPr>
              <w:t xml:space="preserve">Equipment </w:t>
            </w:r>
            <w:proofErr w:type="gramStart"/>
            <w:r w:rsidRPr="00927926">
              <w:rPr>
                <w:rFonts w:cs="Arial"/>
                <w:sz w:val="22"/>
                <w:szCs w:val="22"/>
              </w:rPr>
              <w:t>is included</w:t>
            </w:r>
            <w:proofErr w:type="gramEnd"/>
            <w:r w:rsidRPr="00927926">
              <w:rPr>
                <w:rFonts w:cs="Arial"/>
                <w:sz w:val="22"/>
                <w:szCs w:val="22"/>
              </w:rPr>
              <w:t xml:space="preserve"> in definition of “Labor or Materials.”</w:t>
            </w:r>
          </w:p>
        </w:tc>
      </w:tr>
      <w:tr w:rsidR="00512B55" w:rsidRPr="00927926" w14:paraId="1CB9F10E" w14:textId="77777777" w:rsidTr="00A97C0C">
        <w:trPr>
          <w:cantSplit/>
          <w:trHeight w:val="142"/>
          <w:jc w:val="center"/>
        </w:trPr>
        <w:tc>
          <w:tcPr>
            <w:tcW w:w="4032" w:type="dxa"/>
          </w:tcPr>
          <w:p w14:paraId="6B4FDA95"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8.</w:t>
            </w:r>
            <w:r w:rsidRPr="00927926">
              <w:rPr>
                <w:rFonts w:cs="Arial"/>
                <w:sz w:val="22"/>
                <w:szCs w:val="22"/>
              </w:rPr>
              <w:tab/>
              <w:t>Date of claimant’s bid/contract:</w:t>
            </w:r>
          </w:p>
          <w:p w14:paraId="71817F23" w14:textId="77777777" w:rsidR="00512B55" w:rsidRPr="00927926" w:rsidRDefault="00512B55" w:rsidP="00927926">
            <w:pPr>
              <w:widowControl/>
              <w:tabs>
                <w:tab w:val="left" w:pos="-720"/>
                <w:tab w:val="left" w:pos="432"/>
              </w:tabs>
              <w:spacing w:before="72" w:after="72" w:line="240" w:lineRule="exact"/>
              <w:ind w:firstLine="400"/>
              <w:rPr>
                <w:rFonts w:cs="Arial"/>
                <w:sz w:val="22"/>
                <w:szCs w:val="22"/>
              </w:rPr>
            </w:pPr>
            <w:r w:rsidRPr="00927926">
              <w:rPr>
                <w:rFonts w:cs="Arial"/>
                <w:sz w:val="22"/>
                <w:szCs w:val="22"/>
              </w:rPr>
              <w:t>Date claimant started working:</w:t>
            </w:r>
          </w:p>
        </w:tc>
        <w:tc>
          <w:tcPr>
            <w:tcW w:w="5508" w:type="dxa"/>
          </w:tcPr>
          <w:p w14:paraId="0FF7490B" w14:textId="77777777" w:rsidR="00512B55" w:rsidRPr="00927926" w:rsidRDefault="00512B55" w:rsidP="00927926">
            <w:pPr>
              <w:widowControl/>
              <w:tabs>
                <w:tab w:val="left" w:pos="-720"/>
                <w:tab w:val="left" w:pos="432"/>
              </w:tabs>
              <w:spacing w:before="72" w:after="72" w:line="240" w:lineRule="exact"/>
              <w:rPr>
                <w:rFonts w:cs="Arial"/>
                <w:sz w:val="22"/>
                <w:szCs w:val="22"/>
              </w:rPr>
            </w:pPr>
          </w:p>
        </w:tc>
      </w:tr>
      <w:tr w:rsidR="00512B55" w:rsidRPr="00927926" w14:paraId="2C0641FF" w14:textId="77777777" w:rsidTr="00A97C0C">
        <w:trPr>
          <w:cantSplit/>
          <w:trHeight w:val="142"/>
          <w:jc w:val="center"/>
        </w:trPr>
        <w:tc>
          <w:tcPr>
            <w:tcW w:w="4032" w:type="dxa"/>
          </w:tcPr>
          <w:p w14:paraId="2461798F"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lastRenderedPageBreak/>
              <w:t>9.</w:t>
            </w:r>
            <w:r w:rsidRPr="00927926">
              <w:rPr>
                <w:rFonts w:cs="Arial"/>
                <w:sz w:val="22"/>
                <w:szCs w:val="22"/>
              </w:rPr>
              <w:tab/>
              <w:t xml:space="preserve">Copy of bond obtained: </w:t>
            </w:r>
          </w:p>
          <w:p w14:paraId="4A8123C3" w14:textId="77777777" w:rsidR="00512B55" w:rsidRPr="00927926" w:rsidRDefault="00512B55" w:rsidP="00927926">
            <w:pPr>
              <w:widowControl/>
              <w:tabs>
                <w:tab w:val="left" w:pos="-720"/>
                <w:tab w:val="left" w:pos="432"/>
              </w:tabs>
              <w:spacing w:before="72" w:after="72" w:line="240" w:lineRule="exact"/>
              <w:ind w:firstLine="720"/>
              <w:rPr>
                <w:rFonts w:cs="Arial"/>
                <w:sz w:val="22"/>
                <w:szCs w:val="22"/>
              </w:rPr>
            </w:pPr>
            <w:r w:rsidRPr="00927926">
              <w:rPr>
                <w:rFonts w:cs="Arial"/>
                <w:sz w:val="22"/>
                <w:szCs w:val="22"/>
              </w:rPr>
              <w:t xml:space="preserve">     No  </w:t>
            </w:r>
            <w:r w:rsidRPr="00927926">
              <w:rPr>
                <w:rFonts w:cs="Arial"/>
                <w:sz w:val="22"/>
                <w:szCs w:val="22"/>
              </w:rPr>
              <w:sym w:font="Wingdings" w:char="F072"/>
            </w:r>
            <w:r w:rsidRPr="00927926">
              <w:rPr>
                <w:rFonts w:cs="Arial"/>
                <w:sz w:val="22"/>
                <w:szCs w:val="22"/>
              </w:rPr>
              <w:tab/>
              <w:t xml:space="preserve">Yes  </w:t>
            </w:r>
            <w:r w:rsidRPr="00927926">
              <w:rPr>
                <w:rFonts w:cs="Arial"/>
                <w:sz w:val="22"/>
                <w:szCs w:val="22"/>
              </w:rPr>
              <w:sym w:font="Wingdings" w:char="F072"/>
            </w:r>
          </w:p>
        </w:tc>
        <w:tc>
          <w:tcPr>
            <w:tcW w:w="5508" w:type="dxa"/>
          </w:tcPr>
          <w:p w14:paraId="5745CE40"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See 3 above.</w:t>
            </w:r>
          </w:p>
        </w:tc>
      </w:tr>
      <w:tr w:rsidR="00512B55" w:rsidRPr="00927926" w14:paraId="28D8E3A9" w14:textId="77777777" w:rsidTr="00A97C0C">
        <w:trPr>
          <w:cantSplit/>
          <w:trHeight w:val="142"/>
          <w:jc w:val="center"/>
        </w:trPr>
        <w:tc>
          <w:tcPr>
            <w:tcW w:w="4032" w:type="dxa"/>
          </w:tcPr>
          <w:p w14:paraId="071E97D3"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10</w:t>
            </w:r>
            <w:proofErr w:type="gramStart"/>
            <w:r w:rsidRPr="00927926">
              <w:rPr>
                <w:rFonts w:cs="Arial"/>
                <w:sz w:val="22"/>
                <w:szCs w:val="22"/>
              </w:rPr>
              <w:t xml:space="preserve">. </w:t>
            </w:r>
            <w:r w:rsidRPr="00927926">
              <w:rPr>
                <w:rFonts w:cs="Arial"/>
                <w:sz w:val="22"/>
                <w:szCs w:val="22"/>
              </w:rPr>
              <w:tab/>
              <w:t>Is</w:t>
            </w:r>
            <w:proofErr w:type="gramEnd"/>
            <w:r w:rsidRPr="00927926">
              <w:rPr>
                <w:rFonts w:cs="Arial"/>
                <w:sz w:val="22"/>
                <w:szCs w:val="22"/>
              </w:rPr>
              <w:t xml:space="preserve"> bond correct: </w:t>
            </w:r>
          </w:p>
          <w:p w14:paraId="3BB3385E" w14:textId="77777777" w:rsidR="00512B55" w:rsidRPr="00927926" w:rsidRDefault="00512B55" w:rsidP="00927926">
            <w:pPr>
              <w:widowControl/>
              <w:tabs>
                <w:tab w:val="left" w:pos="-720"/>
                <w:tab w:val="left" w:pos="432"/>
              </w:tabs>
              <w:spacing w:before="72" w:after="72" w:line="240" w:lineRule="exact"/>
              <w:ind w:left="2904" w:hanging="2184"/>
              <w:rPr>
                <w:rFonts w:cs="Arial"/>
                <w:sz w:val="22"/>
                <w:szCs w:val="22"/>
              </w:rPr>
            </w:pPr>
            <w:r w:rsidRPr="00927926">
              <w:rPr>
                <w:rFonts w:cs="Arial"/>
                <w:sz w:val="22"/>
                <w:szCs w:val="22"/>
              </w:rPr>
              <w:t xml:space="preserve">     No  </w:t>
            </w:r>
            <w:r w:rsidRPr="00927926">
              <w:rPr>
                <w:rFonts w:cs="Arial"/>
                <w:sz w:val="22"/>
                <w:szCs w:val="22"/>
              </w:rPr>
              <w:sym w:font="Wingdings" w:char="F072"/>
            </w:r>
            <w:r w:rsidRPr="00927926">
              <w:rPr>
                <w:rFonts w:cs="Arial"/>
                <w:sz w:val="22"/>
                <w:szCs w:val="22"/>
              </w:rPr>
              <w:tab/>
              <w:t xml:space="preserve">Yes  </w:t>
            </w:r>
            <w:r w:rsidRPr="00927926">
              <w:rPr>
                <w:rFonts w:cs="Arial"/>
                <w:sz w:val="22"/>
                <w:szCs w:val="22"/>
              </w:rPr>
              <w:sym w:font="Wingdings" w:char="F072"/>
            </w:r>
          </w:p>
          <w:p w14:paraId="65864942"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t xml:space="preserve">If </w:t>
            </w:r>
            <w:proofErr w:type="gramStart"/>
            <w:r w:rsidRPr="00927926">
              <w:rPr>
                <w:rFonts w:cs="Arial"/>
                <w:sz w:val="22"/>
                <w:szCs w:val="22"/>
              </w:rPr>
              <w:t>no</w:t>
            </w:r>
            <w:proofErr w:type="gramEnd"/>
            <w:r w:rsidRPr="00927926">
              <w:rPr>
                <w:rFonts w:cs="Arial"/>
                <w:sz w:val="22"/>
                <w:szCs w:val="22"/>
              </w:rPr>
              <w:t>, concerns:</w:t>
            </w:r>
          </w:p>
        </w:tc>
        <w:tc>
          <w:tcPr>
            <w:tcW w:w="5508" w:type="dxa"/>
          </w:tcPr>
          <w:p w14:paraId="6BB56462"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Under ORS 279C.625 the contracting agency that let the contract </w:t>
            </w:r>
            <w:r w:rsidRPr="00927926">
              <w:rPr>
                <w:rFonts w:cs="Arial"/>
                <w:sz w:val="22"/>
                <w:szCs w:val="22"/>
                <w:u w:val="single"/>
              </w:rPr>
              <w:t>and the officer(s) authorizing the contract are jointly and severally liable</w:t>
            </w:r>
            <w:r w:rsidRPr="00927926">
              <w:rPr>
                <w:rFonts w:cs="Arial"/>
                <w:sz w:val="22"/>
                <w:szCs w:val="22"/>
              </w:rPr>
              <w:t xml:space="preserve"> to parties who should have </w:t>
            </w:r>
            <w:proofErr w:type="gramStart"/>
            <w:r w:rsidRPr="00927926">
              <w:rPr>
                <w:rFonts w:cs="Arial"/>
                <w:sz w:val="22"/>
                <w:szCs w:val="22"/>
              </w:rPr>
              <w:t>been protected</w:t>
            </w:r>
            <w:proofErr w:type="gramEnd"/>
            <w:r w:rsidRPr="00927926">
              <w:rPr>
                <w:rFonts w:cs="Arial"/>
                <w:sz w:val="22"/>
                <w:szCs w:val="22"/>
              </w:rPr>
              <w:t xml:space="preserve"> by the Little Miller Act bond if one was </w:t>
            </w:r>
            <w:proofErr w:type="gramStart"/>
            <w:r w:rsidRPr="00927926">
              <w:rPr>
                <w:rFonts w:cs="Arial"/>
                <w:sz w:val="22"/>
                <w:szCs w:val="22"/>
              </w:rPr>
              <w:t>required</w:t>
            </w:r>
            <w:proofErr w:type="gramEnd"/>
            <w:r w:rsidRPr="00927926">
              <w:rPr>
                <w:rFonts w:cs="Arial"/>
                <w:sz w:val="22"/>
                <w:szCs w:val="22"/>
              </w:rPr>
              <w:t xml:space="preserve"> and not provided. Parties who should have </w:t>
            </w:r>
            <w:proofErr w:type="gramStart"/>
            <w:r w:rsidRPr="00927926">
              <w:rPr>
                <w:rFonts w:cs="Arial"/>
                <w:sz w:val="22"/>
                <w:szCs w:val="22"/>
              </w:rPr>
              <w:t>been protected</w:t>
            </w:r>
            <w:proofErr w:type="gramEnd"/>
            <w:r w:rsidRPr="00927926">
              <w:rPr>
                <w:rFonts w:cs="Arial"/>
                <w:sz w:val="22"/>
                <w:szCs w:val="22"/>
              </w:rPr>
              <w:t xml:space="preserve"> parties under the bond should send a tort claim notice and otherwise </w:t>
            </w:r>
            <w:proofErr w:type="gramStart"/>
            <w:r w:rsidRPr="00927926">
              <w:rPr>
                <w:rFonts w:cs="Arial"/>
                <w:sz w:val="22"/>
                <w:szCs w:val="22"/>
              </w:rPr>
              <w:t>comply with</w:t>
            </w:r>
            <w:proofErr w:type="gramEnd"/>
            <w:r w:rsidRPr="00927926">
              <w:rPr>
                <w:rFonts w:cs="Arial"/>
                <w:sz w:val="22"/>
                <w:szCs w:val="22"/>
              </w:rPr>
              <w:t xml:space="preserve"> the Oregon Tort Claims Act (ORS 30.260 - 30.300) in the event it applies</w:t>
            </w:r>
            <w:r w:rsidR="00572C06" w:rsidRPr="00927926">
              <w:rPr>
                <w:rFonts w:cs="Arial"/>
                <w:sz w:val="22"/>
                <w:szCs w:val="22"/>
              </w:rPr>
              <w:t xml:space="preserve">. </w:t>
            </w:r>
            <w:r w:rsidRPr="00927926">
              <w:rPr>
                <w:rFonts w:cs="Arial"/>
                <w:i/>
                <w:sz w:val="22"/>
                <w:szCs w:val="22"/>
              </w:rPr>
              <w:t xml:space="preserve">See </w:t>
            </w:r>
            <w:r w:rsidR="00572C06" w:rsidRPr="00927926">
              <w:rPr>
                <w:rFonts w:cs="Arial"/>
                <w:i/>
                <w:sz w:val="22"/>
                <w:szCs w:val="22"/>
              </w:rPr>
              <w:t xml:space="preserve">e.g. </w:t>
            </w:r>
            <w:r w:rsidRPr="00927926">
              <w:rPr>
                <w:rFonts w:cs="Arial"/>
                <w:i/>
                <w:sz w:val="22"/>
                <w:szCs w:val="22"/>
              </w:rPr>
              <w:t>Jenkins v. Portland Hous</w:t>
            </w:r>
            <w:r w:rsidR="00572C06" w:rsidRPr="00927926">
              <w:rPr>
                <w:rFonts w:cs="Arial"/>
                <w:i/>
                <w:sz w:val="22"/>
                <w:szCs w:val="22"/>
              </w:rPr>
              <w:t>ing</w:t>
            </w:r>
            <w:r w:rsidRPr="00927926">
              <w:rPr>
                <w:rFonts w:cs="Arial"/>
                <w:i/>
                <w:sz w:val="22"/>
                <w:szCs w:val="22"/>
              </w:rPr>
              <w:t xml:space="preserve"> Auth., Corp.</w:t>
            </w:r>
            <w:r w:rsidRPr="00927926">
              <w:rPr>
                <w:rFonts w:cs="Arial"/>
                <w:sz w:val="22"/>
                <w:szCs w:val="22"/>
              </w:rPr>
              <w:t xml:space="preserve">, 260 Or. App. 26 </w:t>
            </w:r>
            <w:r w:rsidRPr="00927926">
              <w:rPr>
                <w:rFonts w:cs="Arial"/>
                <w:i/>
                <w:sz w:val="22"/>
                <w:szCs w:val="22"/>
              </w:rPr>
              <w:t>cert denied</w:t>
            </w:r>
            <w:r w:rsidRPr="00927926">
              <w:rPr>
                <w:rFonts w:cs="Arial"/>
                <w:sz w:val="22"/>
                <w:szCs w:val="22"/>
              </w:rPr>
              <w:t xml:space="preserve"> 355 Or. 380 (2014) (some statutory claims are subject to Oregon Tort Claims Act).</w:t>
            </w:r>
          </w:p>
        </w:tc>
      </w:tr>
      <w:tr w:rsidR="00512B55" w:rsidRPr="00927926" w14:paraId="4DD7AB6B" w14:textId="77777777" w:rsidTr="00A97C0C">
        <w:trPr>
          <w:cantSplit/>
          <w:trHeight w:val="142"/>
          <w:jc w:val="center"/>
        </w:trPr>
        <w:tc>
          <w:tcPr>
            <w:tcW w:w="4032" w:type="dxa"/>
          </w:tcPr>
          <w:p w14:paraId="23A29F24"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11</w:t>
            </w:r>
            <w:proofErr w:type="gramStart"/>
            <w:r w:rsidRPr="00927926">
              <w:rPr>
                <w:rFonts w:cs="Arial"/>
                <w:sz w:val="22"/>
                <w:szCs w:val="22"/>
              </w:rPr>
              <w:t xml:space="preserve">. </w:t>
            </w:r>
            <w:r w:rsidRPr="00927926">
              <w:rPr>
                <w:rFonts w:cs="Arial"/>
                <w:sz w:val="22"/>
                <w:szCs w:val="22"/>
              </w:rPr>
              <w:tab/>
              <w:t>Date</w:t>
            </w:r>
            <w:proofErr w:type="gramEnd"/>
            <w:r w:rsidRPr="00927926">
              <w:rPr>
                <w:rFonts w:cs="Arial"/>
                <w:sz w:val="22"/>
                <w:szCs w:val="22"/>
              </w:rPr>
              <w:t xml:space="preserve"> project completed:</w:t>
            </w:r>
          </w:p>
        </w:tc>
        <w:tc>
          <w:tcPr>
            <w:tcW w:w="5508" w:type="dxa"/>
          </w:tcPr>
          <w:p w14:paraId="30BFEC44" w14:textId="77777777" w:rsidR="00512B55" w:rsidRPr="00927926" w:rsidRDefault="00512B55" w:rsidP="00927926">
            <w:pPr>
              <w:widowControl/>
              <w:tabs>
                <w:tab w:val="left" w:pos="-720"/>
                <w:tab w:val="left" w:pos="432"/>
              </w:tabs>
              <w:spacing w:before="72" w:after="72" w:line="240" w:lineRule="exact"/>
              <w:rPr>
                <w:rFonts w:cs="Arial"/>
                <w:sz w:val="22"/>
                <w:szCs w:val="22"/>
              </w:rPr>
            </w:pPr>
          </w:p>
        </w:tc>
      </w:tr>
      <w:tr w:rsidR="00512B55" w:rsidRPr="00927926" w14:paraId="6D284AE9" w14:textId="77777777" w:rsidTr="00A97C0C">
        <w:trPr>
          <w:cantSplit/>
          <w:trHeight w:val="142"/>
          <w:jc w:val="center"/>
        </w:trPr>
        <w:tc>
          <w:tcPr>
            <w:tcW w:w="4032" w:type="dxa"/>
          </w:tcPr>
          <w:p w14:paraId="65D802FB"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12</w:t>
            </w:r>
            <w:proofErr w:type="gramStart"/>
            <w:r w:rsidRPr="00927926">
              <w:rPr>
                <w:rFonts w:cs="Arial"/>
                <w:sz w:val="22"/>
                <w:szCs w:val="22"/>
              </w:rPr>
              <w:t xml:space="preserve">. </w:t>
            </w:r>
            <w:r w:rsidRPr="00927926">
              <w:rPr>
                <w:rFonts w:cs="Arial"/>
                <w:sz w:val="22"/>
                <w:szCs w:val="22"/>
              </w:rPr>
              <w:tab/>
              <w:t>Claimant’s</w:t>
            </w:r>
            <w:proofErr w:type="gramEnd"/>
            <w:r w:rsidRPr="00927926">
              <w:rPr>
                <w:rFonts w:cs="Arial"/>
                <w:sz w:val="22"/>
                <w:szCs w:val="22"/>
              </w:rPr>
              <w:t xml:space="preserve"> last day of work on the project:</w:t>
            </w:r>
          </w:p>
        </w:tc>
        <w:tc>
          <w:tcPr>
            <w:tcW w:w="5508" w:type="dxa"/>
          </w:tcPr>
          <w:p w14:paraId="2AF75298" w14:textId="77777777" w:rsidR="00512B55" w:rsidRPr="00927926" w:rsidRDefault="00521F6E"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Recommend using last substantial day of work. </w:t>
            </w:r>
            <w:r w:rsidR="00512B55" w:rsidRPr="00927926">
              <w:rPr>
                <w:rFonts w:cs="Arial"/>
                <w:sz w:val="22"/>
                <w:szCs w:val="22"/>
              </w:rPr>
              <w:t xml:space="preserve">Unlike lien statutes, corrective work may count as a last day. </w:t>
            </w:r>
            <w:r w:rsidR="00512B55" w:rsidRPr="00927926">
              <w:rPr>
                <w:rFonts w:cs="Arial"/>
                <w:i/>
                <w:sz w:val="22"/>
                <w:szCs w:val="22"/>
              </w:rPr>
              <w:t>City of The Dalles, Or. ex rel. Taylor Elec. Supply, Inc. v. D’Lectric Co., Inc.</w:t>
            </w:r>
            <w:r w:rsidR="00512B55" w:rsidRPr="00927926">
              <w:rPr>
                <w:rFonts w:cs="Arial"/>
                <w:sz w:val="22"/>
                <w:szCs w:val="22"/>
              </w:rPr>
              <w:t>, 105 Or</w:t>
            </w:r>
            <w:r w:rsidR="00D367B3" w:rsidRPr="00927926">
              <w:rPr>
                <w:rFonts w:cs="Arial"/>
                <w:sz w:val="22"/>
                <w:szCs w:val="22"/>
              </w:rPr>
              <w:t>.</w:t>
            </w:r>
            <w:r w:rsidR="00512B55" w:rsidRPr="00927926">
              <w:rPr>
                <w:rFonts w:cs="Arial"/>
                <w:sz w:val="22"/>
                <w:szCs w:val="22"/>
              </w:rPr>
              <w:t xml:space="preserve"> App</w:t>
            </w:r>
            <w:r w:rsidR="00D367B3" w:rsidRPr="00927926">
              <w:rPr>
                <w:rFonts w:cs="Arial"/>
                <w:sz w:val="22"/>
                <w:szCs w:val="22"/>
              </w:rPr>
              <w:t>.</w:t>
            </w:r>
            <w:r w:rsidR="00512B55" w:rsidRPr="00927926">
              <w:rPr>
                <w:rFonts w:cs="Arial"/>
                <w:sz w:val="22"/>
                <w:szCs w:val="22"/>
              </w:rPr>
              <w:t xml:space="preserve"> 46, 52, 803 P</w:t>
            </w:r>
            <w:r w:rsidR="00D367B3" w:rsidRPr="00927926">
              <w:rPr>
                <w:rFonts w:cs="Arial"/>
                <w:sz w:val="22"/>
                <w:szCs w:val="22"/>
              </w:rPr>
              <w:t xml:space="preserve">. </w:t>
            </w:r>
            <w:r w:rsidR="00512B55" w:rsidRPr="00927926">
              <w:rPr>
                <w:rFonts w:cs="Arial"/>
                <w:sz w:val="22"/>
                <w:szCs w:val="22"/>
              </w:rPr>
              <w:t>2d 771 (1990), rev den, 311 Or</w:t>
            </w:r>
            <w:r w:rsidR="00D367B3" w:rsidRPr="00927926">
              <w:rPr>
                <w:rFonts w:cs="Arial"/>
                <w:sz w:val="22"/>
                <w:szCs w:val="22"/>
              </w:rPr>
              <w:t>.</w:t>
            </w:r>
            <w:r w:rsidR="00512B55" w:rsidRPr="00927926">
              <w:rPr>
                <w:rFonts w:cs="Arial"/>
                <w:sz w:val="22"/>
                <w:szCs w:val="22"/>
              </w:rPr>
              <w:t xml:space="preserve"> 261 (1991) (construing former ORS 279.526 (1999))</w:t>
            </w:r>
            <w:r w:rsidR="00572C06" w:rsidRPr="00927926">
              <w:rPr>
                <w:rFonts w:cs="Arial"/>
                <w:sz w:val="22"/>
                <w:szCs w:val="22"/>
              </w:rPr>
              <w:t xml:space="preserve">. </w:t>
            </w:r>
            <w:r w:rsidR="00512B55" w:rsidRPr="00927926">
              <w:rPr>
                <w:rFonts w:cs="Arial"/>
                <w:i/>
                <w:sz w:val="22"/>
                <w:szCs w:val="22"/>
              </w:rPr>
              <w:t>See also State ex rel Robert Warren Trucking, LLC v. Smith &amp; Smith Excavation, Inc.</w:t>
            </w:r>
            <w:r w:rsidR="00512B55" w:rsidRPr="00927926">
              <w:rPr>
                <w:rFonts w:cs="Arial"/>
                <w:sz w:val="22"/>
                <w:szCs w:val="22"/>
              </w:rPr>
              <w:t>, 280 Or</w:t>
            </w:r>
            <w:r w:rsidR="00D367B3" w:rsidRPr="00927926">
              <w:rPr>
                <w:rFonts w:cs="Arial"/>
                <w:sz w:val="22"/>
                <w:szCs w:val="22"/>
              </w:rPr>
              <w:t>.</w:t>
            </w:r>
            <w:r w:rsidR="00512B55" w:rsidRPr="00927926">
              <w:rPr>
                <w:rFonts w:cs="Arial"/>
                <w:sz w:val="22"/>
                <w:szCs w:val="22"/>
              </w:rPr>
              <w:t xml:space="preserve"> App</w:t>
            </w:r>
            <w:r w:rsidR="00D367B3" w:rsidRPr="00927926">
              <w:rPr>
                <w:rFonts w:cs="Arial"/>
                <w:sz w:val="22"/>
                <w:szCs w:val="22"/>
              </w:rPr>
              <w:t>.</w:t>
            </w:r>
            <w:r w:rsidR="00512B55" w:rsidRPr="00927926">
              <w:rPr>
                <w:rFonts w:cs="Arial"/>
                <w:sz w:val="22"/>
                <w:szCs w:val="22"/>
              </w:rPr>
              <w:t xml:space="preserve"> 778-779 and n.8 (2016) (noting statute construed is </w:t>
            </w:r>
            <w:proofErr w:type="gramStart"/>
            <w:r w:rsidR="00512B55" w:rsidRPr="00927926">
              <w:rPr>
                <w:rFonts w:cs="Arial"/>
                <w:sz w:val="22"/>
                <w:szCs w:val="22"/>
              </w:rPr>
              <w:t>similar to</w:t>
            </w:r>
            <w:proofErr w:type="gramEnd"/>
            <w:r w:rsidR="00512B55" w:rsidRPr="00927926">
              <w:rPr>
                <w:rFonts w:cs="Arial"/>
                <w:sz w:val="22"/>
                <w:szCs w:val="22"/>
              </w:rPr>
              <w:t xml:space="preserve"> former ORS 279.526 (1999)).</w:t>
            </w:r>
          </w:p>
        </w:tc>
      </w:tr>
      <w:tr w:rsidR="00512B55" w:rsidRPr="00927926" w14:paraId="23327B6D" w14:textId="77777777" w:rsidTr="00A97C0C">
        <w:trPr>
          <w:cantSplit/>
          <w:trHeight w:val="2137"/>
          <w:jc w:val="center"/>
        </w:trPr>
        <w:tc>
          <w:tcPr>
            <w:tcW w:w="4032" w:type="dxa"/>
          </w:tcPr>
          <w:p w14:paraId="3DCEC79A"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13</w:t>
            </w:r>
            <w:proofErr w:type="gramStart"/>
            <w:r w:rsidRPr="00927926">
              <w:rPr>
                <w:rFonts w:cs="Arial"/>
                <w:sz w:val="22"/>
                <w:szCs w:val="22"/>
              </w:rPr>
              <w:t xml:space="preserve">. </w:t>
            </w:r>
            <w:r w:rsidRPr="00927926">
              <w:rPr>
                <w:rFonts w:cs="Arial"/>
                <w:sz w:val="22"/>
                <w:szCs w:val="22"/>
              </w:rPr>
              <w:tab/>
              <w:t>180</w:t>
            </w:r>
            <w:proofErr w:type="gramEnd"/>
            <w:r w:rsidRPr="00927926">
              <w:rPr>
                <w:rFonts w:cs="Arial"/>
                <w:sz w:val="22"/>
                <w:szCs w:val="22"/>
              </w:rPr>
              <w:t xml:space="preserve"> days:</w:t>
            </w:r>
          </w:p>
          <w:p w14:paraId="40CC3BA2" w14:textId="6C80EB1C" w:rsidR="00512B55" w:rsidRPr="008B1A92"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from Project’s completion is: </w:t>
            </w:r>
            <w:r w:rsidRPr="00927926">
              <w:rPr>
                <w:rFonts w:cs="Arial"/>
                <w:sz w:val="22"/>
                <w:szCs w:val="22"/>
                <w:u w:val="single"/>
              </w:rPr>
              <w:tab/>
            </w:r>
            <w:r w:rsidRPr="00927926">
              <w:rPr>
                <w:rFonts w:cs="Arial"/>
                <w:sz w:val="22"/>
                <w:szCs w:val="22"/>
                <w:u w:val="single"/>
              </w:rPr>
              <w:tab/>
            </w:r>
          </w:p>
          <w:p w14:paraId="761883C6" w14:textId="77777777" w:rsidR="00512B55" w:rsidRPr="00927926" w:rsidRDefault="00512B55" w:rsidP="00927926">
            <w:pPr>
              <w:widowControl/>
              <w:tabs>
                <w:tab w:val="left" w:pos="-720"/>
                <w:tab w:val="left" w:pos="432"/>
              </w:tabs>
              <w:spacing w:before="72" w:after="72" w:line="240" w:lineRule="exact"/>
              <w:rPr>
                <w:rFonts w:cs="Arial"/>
                <w:sz w:val="22"/>
                <w:szCs w:val="22"/>
              </w:rPr>
            </w:pPr>
          </w:p>
          <w:p w14:paraId="25843F8A" w14:textId="2AFE4EAF" w:rsidR="00512B55" w:rsidRPr="00927926" w:rsidRDefault="00512B55" w:rsidP="00927926">
            <w:pPr>
              <w:widowControl/>
              <w:tabs>
                <w:tab w:val="left" w:pos="-720"/>
                <w:tab w:val="left" w:pos="432"/>
              </w:tabs>
              <w:spacing w:before="72" w:after="72" w:line="240" w:lineRule="exact"/>
              <w:rPr>
                <w:rFonts w:cs="Arial"/>
                <w:sz w:val="22"/>
                <w:szCs w:val="22"/>
                <w:u w:val="single"/>
              </w:rPr>
            </w:pPr>
            <w:r w:rsidRPr="00927926">
              <w:rPr>
                <w:rFonts w:cs="Arial"/>
                <w:sz w:val="22"/>
                <w:szCs w:val="22"/>
              </w:rPr>
              <w:t xml:space="preserve">from Claimant’s last day is:    </w:t>
            </w:r>
            <w:r w:rsidRPr="00927926">
              <w:rPr>
                <w:rFonts w:cs="Arial"/>
                <w:sz w:val="22"/>
                <w:szCs w:val="22"/>
                <w:u w:val="single"/>
              </w:rPr>
              <w:tab/>
            </w:r>
            <w:r w:rsidRPr="00927926">
              <w:rPr>
                <w:rFonts w:cs="Arial"/>
                <w:sz w:val="22"/>
                <w:szCs w:val="22"/>
                <w:u w:val="single"/>
              </w:rPr>
              <w:tab/>
            </w:r>
          </w:p>
          <w:p w14:paraId="5D86474E" w14:textId="77777777" w:rsidR="00512B55" w:rsidRPr="00927926" w:rsidRDefault="00512B55" w:rsidP="00927926">
            <w:pPr>
              <w:widowControl/>
              <w:tabs>
                <w:tab w:val="left" w:pos="-720"/>
                <w:tab w:val="left" w:pos="432"/>
              </w:tabs>
              <w:spacing w:before="72" w:after="72" w:line="240" w:lineRule="exact"/>
              <w:rPr>
                <w:rFonts w:cs="Arial"/>
                <w:sz w:val="22"/>
                <w:szCs w:val="22"/>
                <w:u w:val="single"/>
              </w:rPr>
            </w:pPr>
          </w:p>
        </w:tc>
        <w:tc>
          <w:tcPr>
            <w:tcW w:w="5508" w:type="dxa"/>
          </w:tcPr>
          <w:p w14:paraId="036A61B1"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Deadline to make an Oregon Little Miller Act bond claim is no later than 180 days after the day the person last provided labor or furnished materials. ORS 279C.605. Do not rely on ORCP 10 or ORS 174.120 in counting days. The </w:t>
            </w:r>
            <w:proofErr w:type="gramStart"/>
            <w:r w:rsidRPr="00927926">
              <w:rPr>
                <w:rFonts w:cs="Arial"/>
                <w:sz w:val="22"/>
                <w:szCs w:val="22"/>
              </w:rPr>
              <w:t>time period</w:t>
            </w:r>
            <w:proofErr w:type="gramEnd"/>
            <w:r w:rsidRPr="00927926">
              <w:rPr>
                <w:rFonts w:cs="Arial"/>
                <w:sz w:val="22"/>
                <w:szCs w:val="22"/>
              </w:rPr>
              <w:t xml:space="preserve"> may not </w:t>
            </w:r>
            <w:proofErr w:type="gramStart"/>
            <w:r w:rsidRPr="00927926">
              <w:rPr>
                <w:rFonts w:cs="Arial"/>
                <w:sz w:val="22"/>
                <w:szCs w:val="22"/>
              </w:rPr>
              <w:t>be extended</w:t>
            </w:r>
            <w:proofErr w:type="gramEnd"/>
            <w:r w:rsidRPr="00927926">
              <w:rPr>
                <w:rFonts w:cs="Arial"/>
                <w:sz w:val="22"/>
                <w:szCs w:val="22"/>
              </w:rPr>
              <w:t xml:space="preserve"> if the last day falls on a Saturday, Sunday</w:t>
            </w:r>
            <w:r w:rsidR="00A90140" w:rsidRPr="00927926">
              <w:rPr>
                <w:rFonts w:cs="Arial"/>
                <w:sz w:val="22"/>
                <w:szCs w:val="22"/>
              </w:rPr>
              <w:t>,</w:t>
            </w:r>
            <w:r w:rsidRPr="00927926">
              <w:rPr>
                <w:rFonts w:cs="Arial"/>
                <w:sz w:val="22"/>
                <w:szCs w:val="22"/>
              </w:rPr>
              <w:t xml:space="preserve"> or </w:t>
            </w:r>
            <w:proofErr w:type="gramStart"/>
            <w:r w:rsidRPr="00927926">
              <w:rPr>
                <w:rFonts w:cs="Arial"/>
                <w:sz w:val="22"/>
                <w:szCs w:val="22"/>
              </w:rPr>
              <w:t>other</w:t>
            </w:r>
            <w:proofErr w:type="gramEnd"/>
            <w:r w:rsidRPr="00927926">
              <w:rPr>
                <w:rFonts w:cs="Arial"/>
                <w:sz w:val="22"/>
                <w:szCs w:val="22"/>
              </w:rPr>
              <w:t xml:space="preserve"> legal holiday. Note the language of some bonds may </w:t>
            </w:r>
            <w:proofErr w:type="gramStart"/>
            <w:r w:rsidRPr="00927926">
              <w:rPr>
                <w:rFonts w:cs="Arial"/>
                <w:sz w:val="22"/>
                <w:szCs w:val="22"/>
              </w:rPr>
              <w:t>contain</w:t>
            </w:r>
            <w:proofErr w:type="gramEnd"/>
            <w:r w:rsidRPr="00927926">
              <w:rPr>
                <w:rFonts w:cs="Arial"/>
                <w:sz w:val="22"/>
                <w:szCs w:val="22"/>
              </w:rPr>
              <w:t xml:space="preserve"> different deadlines and notice requirements</w:t>
            </w:r>
            <w:r w:rsidR="00572C06" w:rsidRPr="00927926">
              <w:rPr>
                <w:rFonts w:cs="Arial"/>
                <w:sz w:val="22"/>
                <w:szCs w:val="22"/>
              </w:rPr>
              <w:t xml:space="preserve">. </w:t>
            </w:r>
            <w:r w:rsidRPr="00927926">
              <w:rPr>
                <w:rFonts w:cs="Arial"/>
                <w:sz w:val="22"/>
                <w:szCs w:val="22"/>
              </w:rPr>
              <w:t xml:space="preserve">If </w:t>
            </w:r>
            <w:proofErr w:type="gramStart"/>
            <w:r w:rsidRPr="00927926">
              <w:rPr>
                <w:rFonts w:cs="Arial"/>
                <w:sz w:val="22"/>
                <w:szCs w:val="22"/>
              </w:rPr>
              <w:t>the payment bond was required by ORS</w:t>
            </w:r>
            <w:proofErr w:type="gramEnd"/>
            <w:r w:rsidRPr="00927926">
              <w:rPr>
                <w:rFonts w:cs="Arial"/>
                <w:sz w:val="22"/>
                <w:szCs w:val="22"/>
              </w:rPr>
              <w:t xml:space="preserve"> Chapter 279C, the surety may not </w:t>
            </w:r>
            <w:proofErr w:type="gramStart"/>
            <w:r w:rsidRPr="00927926">
              <w:rPr>
                <w:rFonts w:cs="Arial"/>
                <w:sz w:val="22"/>
                <w:szCs w:val="22"/>
              </w:rPr>
              <w:t>be entitled</w:t>
            </w:r>
            <w:proofErr w:type="gramEnd"/>
            <w:r w:rsidRPr="00927926">
              <w:rPr>
                <w:rFonts w:cs="Arial"/>
                <w:sz w:val="22"/>
                <w:szCs w:val="22"/>
              </w:rPr>
              <w:t xml:space="preserve"> to rely on more restrictive requirements</w:t>
            </w:r>
            <w:r w:rsidR="00572C06" w:rsidRPr="00927926">
              <w:rPr>
                <w:rFonts w:cs="Arial"/>
                <w:sz w:val="22"/>
                <w:szCs w:val="22"/>
              </w:rPr>
              <w:t xml:space="preserve">. </w:t>
            </w:r>
            <w:r w:rsidRPr="00927926">
              <w:rPr>
                <w:rFonts w:cs="Arial"/>
                <w:i/>
                <w:sz w:val="22"/>
                <w:szCs w:val="22"/>
              </w:rPr>
              <w:t>See</w:t>
            </w:r>
            <w:r w:rsidRPr="00927926">
              <w:rPr>
                <w:rFonts w:cs="Arial"/>
                <w:smallCaps/>
                <w:sz w:val="22"/>
                <w:szCs w:val="22"/>
              </w:rPr>
              <w:t xml:space="preserve"> OSB CLE Construction Law (</w:t>
            </w:r>
            <w:r w:rsidR="00D367B3" w:rsidRPr="00927926">
              <w:rPr>
                <w:rFonts w:cs="Arial"/>
                <w:smallCaps/>
                <w:sz w:val="22"/>
                <w:szCs w:val="22"/>
              </w:rPr>
              <w:t>2019 Edition</w:t>
            </w:r>
            <w:r w:rsidRPr="00927926">
              <w:rPr>
                <w:rFonts w:cs="Arial"/>
                <w:smallCaps/>
                <w:sz w:val="22"/>
                <w:szCs w:val="22"/>
              </w:rPr>
              <w:t>) Chapter 10, The Surety Relationship and Payment and Performance Bonds</w:t>
            </w:r>
            <w:r w:rsidR="00635343" w:rsidRPr="00927926">
              <w:rPr>
                <w:rFonts w:cs="Arial"/>
                <w:smallCaps/>
                <w:sz w:val="22"/>
                <w:szCs w:val="22"/>
              </w:rPr>
              <w:t xml:space="preserve"> </w:t>
            </w:r>
            <w:r w:rsidR="00635343" w:rsidRPr="00927926">
              <w:rPr>
                <w:rFonts w:cs="Arial"/>
                <w:sz w:val="22"/>
                <w:szCs w:val="22"/>
              </w:rPr>
              <w:t>§10.2-4(b)</w:t>
            </w:r>
            <w:r w:rsidRPr="00927926">
              <w:rPr>
                <w:rFonts w:cs="Arial"/>
                <w:smallCaps/>
                <w:sz w:val="22"/>
                <w:szCs w:val="22"/>
              </w:rPr>
              <w:t>.</w:t>
            </w:r>
            <w:r w:rsidR="00A90140" w:rsidRPr="00927926">
              <w:rPr>
                <w:rFonts w:cs="Arial"/>
                <w:smallCaps/>
                <w:sz w:val="22"/>
                <w:szCs w:val="22"/>
              </w:rPr>
              <w:t xml:space="preserve"> </w:t>
            </w:r>
            <w:bookmarkStart w:id="0" w:name="_Hlk92380419"/>
            <w:r w:rsidR="00A90140" w:rsidRPr="00927926">
              <w:rPr>
                <w:rFonts w:cs="Arial"/>
                <w:sz w:val="22"/>
                <w:szCs w:val="22"/>
              </w:rPr>
              <w:t>See also ORS 742.</w:t>
            </w:r>
            <w:r w:rsidR="00BE02F8" w:rsidRPr="00927926">
              <w:rPr>
                <w:rFonts w:cs="Arial"/>
                <w:sz w:val="22"/>
                <w:szCs w:val="22"/>
              </w:rPr>
              <w:t>370 (Bonds construed as including omitted statutory provisions).</w:t>
            </w:r>
            <w:bookmarkEnd w:id="0"/>
          </w:p>
        </w:tc>
      </w:tr>
      <w:tr w:rsidR="00512B55" w:rsidRPr="00927926" w14:paraId="003C05FD" w14:textId="77777777" w:rsidTr="00A97C0C">
        <w:trPr>
          <w:cantSplit/>
          <w:trHeight w:val="2126"/>
          <w:jc w:val="center"/>
        </w:trPr>
        <w:tc>
          <w:tcPr>
            <w:tcW w:w="4032" w:type="dxa"/>
          </w:tcPr>
          <w:p w14:paraId="658127DF" w14:textId="77777777" w:rsidR="00385823"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lastRenderedPageBreak/>
              <w:t>14</w:t>
            </w:r>
            <w:proofErr w:type="gramStart"/>
            <w:r w:rsidRPr="00927926">
              <w:rPr>
                <w:rFonts w:cs="Arial"/>
                <w:sz w:val="22"/>
                <w:szCs w:val="22"/>
              </w:rPr>
              <w:t xml:space="preserve">. </w:t>
            </w:r>
            <w:r w:rsidRPr="00927926">
              <w:rPr>
                <w:rFonts w:cs="Arial"/>
                <w:sz w:val="22"/>
                <w:szCs w:val="22"/>
              </w:rPr>
              <w:tab/>
              <w:t>Original</w:t>
            </w:r>
            <w:proofErr w:type="gramEnd"/>
            <w:r w:rsidRPr="00927926">
              <w:rPr>
                <w:rFonts w:cs="Arial"/>
                <w:sz w:val="22"/>
                <w:szCs w:val="22"/>
              </w:rPr>
              <w:t xml:space="preserve"> contract amount:</w:t>
            </w:r>
          </w:p>
          <w:p w14:paraId="62B5B9F2" w14:textId="6FE9557A" w:rsidR="00512B55" w:rsidRPr="00927926" w:rsidRDefault="00512B55" w:rsidP="00927926">
            <w:pPr>
              <w:widowControl/>
              <w:tabs>
                <w:tab w:val="left" w:pos="-720"/>
                <w:tab w:val="left" w:pos="432"/>
              </w:tabs>
              <w:spacing w:before="72" w:after="72" w:line="240" w:lineRule="exact"/>
              <w:rPr>
                <w:rFonts w:cs="Arial"/>
                <w:sz w:val="22"/>
                <w:szCs w:val="22"/>
                <w:u w:val="single"/>
              </w:rPr>
            </w:pPr>
            <w:r w:rsidRPr="00927926">
              <w:rPr>
                <w:rFonts w:cs="Arial"/>
                <w:sz w:val="22"/>
                <w:szCs w:val="22"/>
              </w:rPr>
              <w:t>$ _________________</w:t>
            </w:r>
          </w:p>
          <w:p w14:paraId="70AB5F57"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t>Less payments of: _________________</w:t>
            </w:r>
          </w:p>
          <w:p w14:paraId="7975720E" w14:textId="77777777" w:rsidR="00512B55" w:rsidRPr="00927926" w:rsidRDefault="00512B55" w:rsidP="00927926">
            <w:pPr>
              <w:widowControl/>
              <w:tabs>
                <w:tab w:val="left" w:pos="-720"/>
                <w:tab w:val="left" w:pos="432"/>
              </w:tabs>
              <w:spacing w:before="72" w:after="72" w:line="240" w:lineRule="exact"/>
              <w:rPr>
                <w:rFonts w:cs="Arial"/>
                <w:sz w:val="22"/>
                <w:szCs w:val="22"/>
                <w:u w:val="single"/>
              </w:rPr>
            </w:pPr>
            <w:r w:rsidRPr="00927926">
              <w:rPr>
                <w:rFonts w:cs="Arial"/>
                <w:sz w:val="22"/>
                <w:szCs w:val="22"/>
              </w:rPr>
              <w:t xml:space="preserve">    </w:t>
            </w:r>
            <w:r w:rsidRPr="00927926">
              <w:rPr>
                <w:rFonts w:cs="Arial"/>
                <w:sz w:val="22"/>
                <w:szCs w:val="22"/>
              </w:rPr>
              <w:tab/>
              <w:t>Change order(s): _________________</w:t>
            </w:r>
          </w:p>
          <w:p w14:paraId="29A58131" w14:textId="77777777" w:rsidR="00512B55" w:rsidRPr="00927926" w:rsidRDefault="00512B55" w:rsidP="00927926">
            <w:pPr>
              <w:widowControl/>
              <w:tabs>
                <w:tab w:val="left" w:pos="-720"/>
                <w:tab w:val="left" w:pos="432"/>
              </w:tabs>
              <w:spacing w:before="72" w:after="72" w:line="240" w:lineRule="exact"/>
              <w:rPr>
                <w:rFonts w:cs="Arial"/>
                <w:sz w:val="22"/>
                <w:szCs w:val="22"/>
                <w:u w:val="single"/>
              </w:rPr>
            </w:pPr>
            <w:r w:rsidRPr="00927926">
              <w:rPr>
                <w:rFonts w:cs="Arial"/>
                <w:sz w:val="22"/>
                <w:szCs w:val="22"/>
              </w:rPr>
              <w:t xml:space="preserve">    </w:t>
            </w:r>
            <w:r w:rsidRPr="00927926">
              <w:rPr>
                <w:rFonts w:cs="Arial"/>
                <w:sz w:val="22"/>
                <w:szCs w:val="22"/>
              </w:rPr>
              <w:tab/>
              <w:t>Back charges: _________________</w:t>
            </w:r>
          </w:p>
          <w:p w14:paraId="113B8EE9" w14:textId="0EFB0D08" w:rsidR="00512B55" w:rsidRPr="00927926" w:rsidRDefault="00512B55" w:rsidP="00385823">
            <w:pPr>
              <w:widowControl/>
              <w:tabs>
                <w:tab w:val="left" w:pos="-720"/>
                <w:tab w:val="left" w:pos="432"/>
              </w:tabs>
              <w:spacing w:before="72" w:after="72" w:line="240" w:lineRule="exact"/>
              <w:ind w:left="4344" w:hanging="4344"/>
              <w:rPr>
                <w:rFonts w:cs="Arial"/>
                <w:sz w:val="22"/>
                <w:szCs w:val="22"/>
              </w:rPr>
            </w:pPr>
            <w:r w:rsidRPr="00927926">
              <w:rPr>
                <w:rFonts w:cs="Arial"/>
                <w:sz w:val="22"/>
                <w:szCs w:val="22"/>
              </w:rPr>
              <w:t xml:space="preserve">    </w:t>
            </w:r>
            <w:r w:rsidRPr="00927926">
              <w:rPr>
                <w:rFonts w:cs="Arial"/>
                <w:sz w:val="22"/>
                <w:szCs w:val="22"/>
              </w:rPr>
              <w:tab/>
              <w:t>Extra work order(s): __________</w:t>
            </w:r>
          </w:p>
        </w:tc>
        <w:tc>
          <w:tcPr>
            <w:tcW w:w="5508" w:type="dxa"/>
          </w:tcPr>
          <w:p w14:paraId="34E64042"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Review dates, amounts and applications of payments and wording of bond waivers/releases.</w:t>
            </w:r>
          </w:p>
        </w:tc>
      </w:tr>
      <w:tr w:rsidR="00512B55" w:rsidRPr="00927926" w14:paraId="5A6567FB" w14:textId="77777777" w:rsidTr="00A97C0C">
        <w:trPr>
          <w:cantSplit/>
          <w:trHeight w:val="2499"/>
          <w:jc w:val="center"/>
        </w:trPr>
        <w:tc>
          <w:tcPr>
            <w:tcW w:w="4032" w:type="dxa"/>
          </w:tcPr>
          <w:p w14:paraId="2B22B326" w14:textId="77777777" w:rsidR="00385823"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15</w:t>
            </w:r>
            <w:proofErr w:type="gramStart"/>
            <w:r w:rsidRPr="00927926">
              <w:rPr>
                <w:rFonts w:cs="Arial"/>
                <w:sz w:val="22"/>
                <w:szCs w:val="22"/>
              </w:rPr>
              <w:t xml:space="preserve">. </w:t>
            </w:r>
            <w:r w:rsidRPr="00927926">
              <w:rPr>
                <w:rFonts w:cs="Arial"/>
                <w:sz w:val="22"/>
                <w:szCs w:val="22"/>
              </w:rPr>
              <w:tab/>
              <w:t>Total</w:t>
            </w:r>
            <w:proofErr w:type="gramEnd"/>
            <w:r w:rsidRPr="00927926">
              <w:rPr>
                <w:rFonts w:cs="Arial"/>
                <w:sz w:val="22"/>
                <w:szCs w:val="22"/>
              </w:rPr>
              <w:t xml:space="preserve"> remaining owing:</w:t>
            </w:r>
          </w:p>
          <w:p w14:paraId="19BE5E81" w14:textId="61483B95"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$_______________</w:t>
            </w:r>
            <w:proofErr w:type="gramStart"/>
            <w:r w:rsidRPr="00927926">
              <w:rPr>
                <w:rFonts w:cs="Arial"/>
                <w:sz w:val="22"/>
                <w:szCs w:val="22"/>
              </w:rPr>
              <w:t xml:space="preserve">_          </w:t>
            </w:r>
            <w:r w:rsidRPr="00927926">
              <w:rPr>
                <w:rFonts w:cs="Arial"/>
                <w:sz w:val="22"/>
                <w:szCs w:val="22"/>
              </w:rPr>
              <w:tab/>
              <w:t>including</w:t>
            </w:r>
            <w:proofErr w:type="gramEnd"/>
            <w:r w:rsidRPr="00927926">
              <w:rPr>
                <w:rFonts w:cs="Arial"/>
                <w:sz w:val="22"/>
                <w:szCs w:val="22"/>
              </w:rPr>
              <w:t>:</w:t>
            </w:r>
          </w:p>
          <w:p w14:paraId="373C390E"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t>$________________ for labor</w:t>
            </w:r>
          </w:p>
          <w:p w14:paraId="1C65AD27"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t>$________________ for materials</w:t>
            </w:r>
          </w:p>
          <w:p w14:paraId="03B07FC6"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t>$________________ for rental equipment</w:t>
            </w:r>
          </w:p>
          <w:p w14:paraId="354E1FD8" w14:textId="02E37958" w:rsidR="00512B55" w:rsidRPr="00927926" w:rsidRDefault="00512B55" w:rsidP="00385823">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t>$________________ for professional services</w:t>
            </w:r>
          </w:p>
        </w:tc>
        <w:tc>
          <w:tcPr>
            <w:tcW w:w="5508" w:type="dxa"/>
          </w:tcPr>
          <w:p w14:paraId="1128843A" w14:textId="77777777" w:rsidR="00512B55" w:rsidRPr="00927926" w:rsidRDefault="00512B55" w:rsidP="00927926">
            <w:pPr>
              <w:widowControl/>
              <w:tabs>
                <w:tab w:val="left" w:pos="-720"/>
                <w:tab w:val="left" w:pos="432"/>
              </w:tabs>
              <w:spacing w:before="72" w:after="72" w:line="240" w:lineRule="exact"/>
              <w:rPr>
                <w:rFonts w:cs="Arial"/>
                <w:sz w:val="22"/>
                <w:szCs w:val="22"/>
              </w:rPr>
            </w:pPr>
          </w:p>
        </w:tc>
      </w:tr>
      <w:tr w:rsidR="00512B55" w:rsidRPr="00927926" w14:paraId="7A21E02D" w14:textId="77777777" w:rsidTr="00A97C0C">
        <w:trPr>
          <w:cantSplit/>
          <w:trHeight w:val="833"/>
          <w:jc w:val="center"/>
        </w:trPr>
        <w:tc>
          <w:tcPr>
            <w:tcW w:w="4032" w:type="dxa"/>
          </w:tcPr>
          <w:p w14:paraId="7F52E9E3"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16. </w:t>
            </w:r>
            <w:r w:rsidRPr="00927926">
              <w:rPr>
                <w:rFonts w:cs="Arial"/>
                <w:sz w:val="22"/>
                <w:szCs w:val="22"/>
              </w:rPr>
              <w:tab/>
              <w:t xml:space="preserve">Claimant </w:t>
            </w:r>
            <w:proofErr w:type="gramStart"/>
            <w:r w:rsidRPr="00927926">
              <w:rPr>
                <w:rFonts w:cs="Arial"/>
                <w:sz w:val="22"/>
                <w:szCs w:val="22"/>
              </w:rPr>
              <w:t>is entitled</w:t>
            </w:r>
            <w:proofErr w:type="gramEnd"/>
            <w:r w:rsidRPr="00927926">
              <w:rPr>
                <w:rFonts w:cs="Arial"/>
                <w:sz w:val="22"/>
                <w:szCs w:val="22"/>
              </w:rPr>
              <w:t xml:space="preserve"> to interest of ________ per </w:t>
            </w:r>
            <w:r w:rsidRPr="00927926">
              <w:rPr>
                <w:rFonts w:cs="Arial"/>
                <w:sz w:val="22"/>
                <w:szCs w:val="22"/>
              </w:rPr>
              <w:tab/>
              <w:t>annum starting ________________</w:t>
            </w:r>
          </w:p>
        </w:tc>
        <w:tc>
          <w:tcPr>
            <w:tcW w:w="5508" w:type="dxa"/>
          </w:tcPr>
          <w:p w14:paraId="2AE3A446"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Interest is generally available on bond claims from the date the charges become due</w:t>
            </w:r>
            <w:r w:rsidR="00572C06" w:rsidRPr="00927926">
              <w:rPr>
                <w:rFonts w:cs="Arial"/>
                <w:sz w:val="22"/>
                <w:szCs w:val="22"/>
              </w:rPr>
              <w:t xml:space="preserve">. </w:t>
            </w:r>
            <w:r w:rsidRPr="00927926">
              <w:rPr>
                <w:rFonts w:cs="Arial"/>
                <w:i/>
                <w:sz w:val="22"/>
                <w:szCs w:val="22"/>
              </w:rPr>
              <w:t>Konen Const. Co. v. U.S. Fid. &amp; Guar. Co.</w:t>
            </w:r>
            <w:r w:rsidRPr="00927926">
              <w:rPr>
                <w:rFonts w:cs="Arial"/>
                <w:sz w:val="22"/>
                <w:szCs w:val="22"/>
              </w:rPr>
              <w:t>, 234 Or</w:t>
            </w:r>
            <w:r w:rsidR="00D367B3" w:rsidRPr="00927926">
              <w:rPr>
                <w:rFonts w:cs="Arial"/>
                <w:sz w:val="22"/>
                <w:szCs w:val="22"/>
              </w:rPr>
              <w:t>.</w:t>
            </w:r>
            <w:r w:rsidRPr="00927926">
              <w:rPr>
                <w:rFonts w:cs="Arial"/>
                <w:sz w:val="22"/>
                <w:szCs w:val="22"/>
              </w:rPr>
              <w:t xml:space="preserve"> 554 (1963)</w:t>
            </w:r>
            <w:r w:rsidR="00572C06" w:rsidRPr="00927926">
              <w:rPr>
                <w:rFonts w:cs="Arial"/>
                <w:sz w:val="22"/>
                <w:szCs w:val="22"/>
              </w:rPr>
              <w:t xml:space="preserve">. </w:t>
            </w:r>
          </w:p>
        </w:tc>
      </w:tr>
      <w:tr w:rsidR="00512B55" w:rsidRPr="00927926" w14:paraId="766B1DAE" w14:textId="77777777" w:rsidTr="00A97C0C">
        <w:trPr>
          <w:cantSplit/>
          <w:trHeight w:val="373"/>
          <w:jc w:val="center"/>
        </w:trPr>
        <w:tc>
          <w:tcPr>
            <w:tcW w:w="4032" w:type="dxa"/>
          </w:tcPr>
          <w:p w14:paraId="00A21AE2"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17</w:t>
            </w:r>
            <w:proofErr w:type="gramStart"/>
            <w:r w:rsidRPr="00927926">
              <w:rPr>
                <w:rFonts w:cs="Arial"/>
                <w:sz w:val="22"/>
                <w:szCs w:val="22"/>
              </w:rPr>
              <w:t xml:space="preserve">. </w:t>
            </w:r>
            <w:r w:rsidRPr="00927926">
              <w:rPr>
                <w:rFonts w:cs="Arial"/>
                <w:sz w:val="22"/>
                <w:szCs w:val="22"/>
              </w:rPr>
              <w:tab/>
              <w:t>Project</w:t>
            </w:r>
            <w:proofErr w:type="gramEnd"/>
            <w:r w:rsidRPr="00927926">
              <w:rPr>
                <w:rFonts w:cs="Arial"/>
                <w:sz w:val="22"/>
                <w:szCs w:val="22"/>
              </w:rPr>
              <w:t xml:space="preserve"> Name and Address:</w:t>
            </w:r>
          </w:p>
        </w:tc>
        <w:tc>
          <w:tcPr>
            <w:tcW w:w="5508" w:type="dxa"/>
          </w:tcPr>
          <w:p w14:paraId="65EDFF61"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Consider obtaining a copy of cover page to the public contract that </w:t>
            </w:r>
            <w:proofErr w:type="gramStart"/>
            <w:r w:rsidRPr="00927926">
              <w:rPr>
                <w:rFonts w:cs="Arial"/>
                <w:sz w:val="22"/>
                <w:szCs w:val="22"/>
              </w:rPr>
              <w:t>required</w:t>
            </w:r>
            <w:proofErr w:type="gramEnd"/>
            <w:r w:rsidRPr="00927926">
              <w:rPr>
                <w:rFonts w:cs="Arial"/>
                <w:sz w:val="22"/>
                <w:szCs w:val="22"/>
              </w:rPr>
              <w:t xml:space="preserve"> the bond for information that </w:t>
            </w:r>
            <w:proofErr w:type="gramStart"/>
            <w:r w:rsidRPr="00927926">
              <w:rPr>
                <w:rFonts w:cs="Arial"/>
                <w:sz w:val="22"/>
                <w:szCs w:val="22"/>
              </w:rPr>
              <w:t>identifies</w:t>
            </w:r>
            <w:proofErr w:type="gramEnd"/>
            <w:r w:rsidRPr="00927926">
              <w:rPr>
                <w:rFonts w:cs="Arial"/>
                <w:sz w:val="22"/>
                <w:szCs w:val="22"/>
              </w:rPr>
              <w:t xml:space="preserve"> the project.</w:t>
            </w:r>
          </w:p>
        </w:tc>
      </w:tr>
      <w:tr w:rsidR="00512B55" w:rsidRPr="00927926" w14:paraId="6B0FD00E" w14:textId="77777777" w:rsidTr="00A97C0C">
        <w:trPr>
          <w:cantSplit/>
          <w:trHeight w:val="1367"/>
          <w:jc w:val="center"/>
        </w:trPr>
        <w:tc>
          <w:tcPr>
            <w:tcW w:w="4032" w:type="dxa"/>
          </w:tcPr>
          <w:p w14:paraId="065E81AB"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18</w:t>
            </w:r>
            <w:proofErr w:type="gramStart"/>
            <w:r w:rsidRPr="00927926">
              <w:rPr>
                <w:rFonts w:cs="Arial"/>
                <w:sz w:val="22"/>
                <w:szCs w:val="22"/>
              </w:rPr>
              <w:t xml:space="preserve">. </w:t>
            </w:r>
            <w:r w:rsidRPr="00927926">
              <w:rPr>
                <w:rFonts w:cs="Arial"/>
                <w:sz w:val="22"/>
                <w:szCs w:val="22"/>
              </w:rPr>
              <w:tab/>
              <w:t>Who</w:t>
            </w:r>
            <w:proofErr w:type="gramEnd"/>
            <w:r w:rsidRPr="00927926">
              <w:rPr>
                <w:rFonts w:cs="Arial"/>
                <w:sz w:val="22"/>
                <w:szCs w:val="22"/>
              </w:rPr>
              <w:t xml:space="preserve"> will sign the bond claim: </w:t>
            </w:r>
          </w:p>
          <w:p w14:paraId="72A12E7F" w14:textId="3C62BD88"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ab/>
              <w:t>___________________________</w:t>
            </w:r>
          </w:p>
          <w:p w14:paraId="2C81B2E0"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    </w:t>
            </w:r>
            <w:r w:rsidRPr="00927926">
              <w:rPr>
                <w:rFonts w:cs="Arial"/>
                <w:sz w:val="22"/>
                <w:szCs w:val="22"/>
              </w:rPr>
              <w:tab/>
            </w:r>
            <w:proofErr w:type="gramStart"/>
            <w:r w:rsidRPr="00927926">
              <w:rPr>
                <w:rFonts w:cs="Arial"/>
                <w:sz w:val="22"/>
                <w:szCs w:val="22"/>
              </w:rPr>
              <w:t>Title:_</w:t>
            </w:r>
            <w:proofErr w:type="gramEnd"/>
            <w:r w:rsidRPr="00927926">
              <w:rPr>
                <w:rFonts w:cs="Arial"/>
                <w:sz w:val="22"/>
                <w:szCs w:val="22"/>
              </w:rPr>
              <w:t>_______________</w:t>
            </w:r>
          </w:p>
        </w:tc>
        <w:tc>
          <w:tcPr>
            <w:tcW w:w="5508" w:type="dxa"/>
          </w:tcPr>
          <w:p w14:paraId="06B81538"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A general form of notice </w:t>
            </w:r>
            <w:proofErr w:type="gramStart"/>
            <w:r w:rsidRPr="00927926">
              <w:rPr>
                <w:rFonts w:cs="Arial"/>
                <w:sz w:val="22"/>
                <w:szCs w:val="22"/>
              </w:rPr>
              <w:t>is provided</w:t>
            </w:r>
            <w:proofErr w:type="gramEnd"/>
            <w:r w:rsidRPr="00927926">
              <w:rPr>
                <w:rFonts w:cs="Arial"/>
                <w:sz w:val="22"/>
                <w:szCs w:val="22"/>
              </w:rPr>
              <w:t xml:space="preserve"> by ORS 279C.605.</w:t>
            </w:r>
          </w:p>
          <w:p w14:paraId="5F12B0A7" w14:textId="77777777" w:rsidR="00512B55" w:rsidRPr="00927926" w:rsidRDefault="00512B55" w:rsidP="00927926">
            <w:pPr>
              <w:rPr>
                <w:rFonts w:cs="Arial"/>
                <w:sz w:val="22"/>
                <w:szCs w:val="22"/>
              </w:rPr>
            </w:pPr>
          </w:p>
        </w:tc>
      </w:tr>
      <w:tr w:rsidR="00512B55" w:rsidRPr="00927926" w14:paraId="3E9CCA9E" w14:textId="77777777" w:rsidTr="00A97C0C">
        <w:trPr>
          <w:cantSplit/>
          <w:trHeight w:val="3344"/>
          <w:jc w:val="center"/>
        </w:trPr>
        <w:tc>
          <w:tcPr>
            <w:tcW w:w="4032" w:type="dxa"/>
          </w:tcPr>
          <w:p w14:paraId="58AD9DAC" w14:textId="77777777" w:rsidR="00512B55" w:rsidRPr="00927926" w:rsidRDefault="00512B55" w:rsidP="00927926">
            <w:pPr>
              <w:widowControl/>
              <w:tabs>
                <w:tab w:val="left" w:pos="-720"/>
                <w:tab w:val="left" w:pos="432"/>
              </w:tabs>
              <w:spacing w:before="72" w:after="72" w:line="240" w:lineRule="exact"/>
              <w:rPr>
                <w:rFonts w:cs="Arial"/>
                <w:sz w:val="22"/>
                <w:szCs w:val="22"/>
                <w:u w:val="single"/>
              </w:rPr>
            </w:pPr>
            <w:r w:rsidRPr="00927926">
              <w:rPr>
                <w:rFonts w:cs="Arial"/>
                <w:sz w:val="22"/>
                <w:szCs w:val="22"/>
              </w:rPr>
              <w:lastRenderedPageBreak/>
              <w:t>19</w:t>
            </w:r>
            <w:proofErr w:type="gramStart"/>
            <w:r w:rsidRPr="00927926">
              <w:rPr>
                <w:rFonts w:cs="Arial"/>
                <w:sz w:val="22"/>
                <w:szCs w:val="22"/>
              </w:rPr>
              <w:t xml:space="preserve">. </w:t>
            </w:r>
            <w:r w:rsidRPr="00927926">
              <w:rPr>
                <w:rFonts w:cs="Arial"/>
                <w:sz w:val="22"/>
                <w:szCs w:val="22"/>
              </w:rPr>
              <w:tab/>
              <w:t>Date</w:t>
            </w:r>
            <w:proofErr w:type="gramEnd"/>
            <w:r w:rsidRPr="00927926">
              <w:rPr>
                <w:rFonts w:cs="Arial"/>
                <w:sz w:val="22"/>
                <w:szCs w:val="22"/>
              </w:rPr>
              <w:t xml:space="preserve"> claim received by contractor: </w:t>
            </w:r>
            <w:r w:rsidRPr="00927926">
              <w:rPr>
                <w:rFonts w:cs="Arial"/>
                <w:sz w:val="22"/>
                <w:szCs w:val="22"/>
                <w:u w:val="single"/>
              </w:rPr>
              <w:tab/>
            </w:r>
            <w:r w:rsidRPr="00927926">
              <w:rPr>
                <w:rFonts w:cs="Arial"/>
                <w:sz w:val="22"/>
                <w:szCs w:val="22"/>
                <w:u w:val="single"/>
              </w:rPr>
              <w:tab/>
            </w:r>
          </w:p>
        </w:tc>
        <w:tc>
          <w:tcPr>
            <w:tcW w:w="5508" w:type="dxa"/>
          </w:tcPr>
          <w:p w14:paraId="1786C19A" w14:textId="5BEE270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The notice of claim must be “sent by registered or certified mail or hand delivered no later than 180 calendar days after the day the person last provided labor or furnished materials”</w:t>
            </w:r>
            <w:r w:rsidR="00D367B3" w:rsidRPr="00927926">
              <w:rPr>
                <w:rFonts w:cs="Arial"/>
                <w:sz w:val="22"/>
                <w:szCs w:val="22"/>
              </w:rPr>
              <w:t xml:space="preserve"> </w:t>
            </w:r>
            <w:r w:rsidRPr="00927926">
              <w:rPr>
                <w:rFonts w:cs="Arial"/>
                <w:sz w:val="22"/>
                <w:szCs w:val="22"/>
              </w:rPr>
              <w:t>(See 13 above)</w:t>
            </w:r>
            <w:r w:rsidR="00572C06" w:rsidRPr="00927926">
              <w:rPr>
                <w:rFonts w:cs="Arial"/>
                <w:sz w:val="22"/>
                <w:szCs w:val="22"/>
              </w:rPr>
              <w:t xml:space="preserve">. </w:t>
            </w:r>
            <w:r w:rsidRPr="00927926">
              <w:rPr>
                <w:rFonts w:cs="Arial"/>
                <w:sz w:val="22"/>
                <w:szCs w:val="22"/>
              </w:rPr>
              <w:t xml:space="preserve">ORS 279C.605.  It is unclear whether the notice which </w:t>
            </w:r>
            <w:proofErr w:type="gramStart"/>
            <w:r w:rsidRPr="00927926">
              <w:rPr>
                <w:rFonts w:cs="Arial"/>
                <w:sz w:val="22"/>
                <w:szCs w:val="22"/>
              </w:rPr>
              <w:t xml:space="preserve">is </w:t>
            </w:r>
            <w:r w:rsidRPr="00927926">
              <w:rPr>
                <w:rFonts w:cs="Arial"/>
                <w:sz w:val="22"/>
                <w:szCs w:val="22"/>
                <w:u w:val="single"/>
              </w:rPr>
              <w:t>mailed</w:t>
            </w:r>
            <w:proofErr w:type="gramEnd"/>
            <w:r w:rsidRPr="00927926">
              <w:rPr>
                <w:rFonts w:cs="Arial"/>
                <w:sz w:val="22"/>
                <w:szCs w:val="22"/>
              </w:rPr>
              <w:t xml:space="preserve"> but not physically </w:t>
            </w:r>
            <w:r w:rsidRPr="00927926">
              <w:rPr>
                <w:rFonts w:cs="Arial"/>
                <w:sz w:val="22"/>
                <w:szCs w:val="22"/>
                <w:u w:val="single"/>
              </w:rPr>
              <w:t>received</w:t>
            </w:r>
            <w:r w:rsidRPr="00927926">
              <w:rPr>
                <w:rFonts w:cs="Arial"/>
                <w:sz w:val="22"/>
                <w:szCs w:val="22"/>
              </w:rPr>
              <w:t xml:space="preserve"> by the contractor and contacting agency within the 180-day period would be </w:t>
            </w:r>
            <w:proofErr w:type="gramStart"/>
            <w:r w:rsidRPr="00927926">
              <w:rPr>
                <w:rFonts w:cs="Arial"/>
                <w:sz w:val="22"/>
                <w:szCs w:val="22"/>
              </w:rPr>
              <w:t>timely</w:t>
            </w:r>
            <w:proofErr w:type="gramEnd"/>
            <w:r w:rsidR="00572C06" w:rsidRPr="00927926">
              <w:rPr>
                <w:rFonts w:cs="Arial"/>
                <w:sz w:val="22"/>
                <w:szCs w:val="22"/>
              </w:rPr>
              <w:t xml:space="preserve">. </w:t>
            </w:r>
            <w:r w:rsidRPr="00927926">
              <w:rPr>
                <w:rFonts w:cs="Arial"/>
                <w:sz w:val="22"/>
                <w:szCs w:val="22"/>
              </w:rPr>
              <w:t xml:space="preserve">However, there are decisions under the comparable federal Miller Act which hold that the notice must </w:t>
            </w:r>
            <w:proofErr w:type="gramStart"/>
            <w:r w:rsidRPr="00927926">
              <w:rPr>
                <w:rFonts w:cs="Arial"/>
                <w:sz w:val="22"/>
                <w:szCs w:val="22"/>
              </w:rPr>
              <w:t>be physically received</w:t>
            </w:r>
            <w:proofErr w:type="gramEnd"/>
            <w:r w:rsidRPr="00927926">
              <w:rPr>
                <w:rFonts w:cs="Arial"/>
                <w:sz w:val="22"/>
                <w:szCs w:val="22"/>
              </w:rPr>
              <w:t xml:space="preserve"> within that period</w:t>
            </w:r>
            <w:r w:rsidR="00572C06" w:rsidRPr="00927926">
              <w:rPr>
                <w:rFonts w:cs="Arial"/>
                <w:sz w:val="22"/>
                <w:szCs w:val="22"/>
              </w:rPr>
              <w:t xml:space="preserve">. </w:t>
            </w:r>
            <w:proofErr w:type="spellStart"/>
            <w:r w:rsidR="005B7995" w:rsidRPr="00A97C0C">
              <w:rPr>
                <w:rFonts w:cs="Arial"/>
                <w:i/>
                <w:sz w:val="22"/>
                <w:szCs w:val="22"/>
              </w:rPr>
              <w:t>J.W</w:t>
            </w:r>
            <w:proofErr w:type="spellEnd"/>
            <w:r w:rsidR="005B7995" w:rsidRPr="00A97C0C">
              <w:rPr>
                <w:rFonts w:cs="Arial"/>
                <w:i/>
                <w:sz w:val="22"/>
                <w:szCs w:val="22"/>
              </w:rPr>
              <w:t>. Bateson Co. v. US, 434 US 586, 590 n. 4 (1978)</w:t>
            </w:r>
            <w:r w:rsidR="00572C06" w:rsidRPr="005B7995">
              <w:rPr>
                <w:rFonts w:cs="Arial"/>
                <w:sz w:val="22"/>
                <w:szCs w:val="22"/>
              </w:rPr>
              <w:t xml:space="preserve">. </w:t>
            </w:r>
            <w:r w:rsidRPr="005B7995">
              <w:rPr>
                <w:rFonts w:cs="Arial"/>
                <w:sz w:val="22"/>
                <w:szCs w:val="22"/>
              </w:rPr>
              <w:t>Thus, the claimant should make sure</w:t>
            </w:r>
            <w:r w:rsidRPr="00927926">
              <w:rPr>
                <w:rFonts w:cs="Arial"/>
                <w:sz w:val="22"/>
                <w:szCs w:val="22"/>
              </w:rPr>
              <w:t xml:space="preserve"> that the notice </w:t>
            </w:r>
            <w:proofErr w:type="gramStart"/>
            <w:r w:rsidRPr="00927926">
              <w:rPr>
                <w:rFonts w:cs="Arial"/>
                <w:sz w:val="22"/>
                <w:szCs w:val="22"/>
              </w:rPr>
              <w:t>is physically received</w:t>
            </w:r>
            <w:proofErr w:type="gramEnd"/>
            <w:r w:rsidRPr="00927926">
              <w:rPr>
                <w:rFonts w:cs="Arial"/>
                <w:sz w:val="22"/>
                <w:szCs w:val="22"/>
              </w:rPr>
              <w:t xml:space="preserve"> by the contractor and contracting agency by the 180th day.</w:t>
            </w:r>
          </w:p>
          <w:p w14:paraId="27BDFCED" w14:textId="77777777" w:rsidR="00512B55" w:rsidRPr="00927926" w:rsidRDefault="00512B55" w:rsidP="00927926">
            <w:pPr>
              <w:rPr>
                <w:rFonts w:cs="Arial"/>
                <w:sz w:val="22"/>
                <w:szCs w:val="22"/>
              </w:rPr>
            </w:pPr>
          </w:p>
        </w:tc>
      </w:tr>
      <w:tr w:rsidR="00512B55" w:rsidRPr="00927926" w14:paraId="4A93A04D" w14:textId="77777777" w:rsidTr="00A97C0C">
        <w:trPr>
          <w:cantSplit/>
          <w:trHeight w:val="142"/>
          <w:jc w:val="center"/>
        </w:trPr>
        <w:tc>
          <w:tcPr>
            <w:tcW w:w="4032" w:type="dxa"/>
          </w:tcPr>
          <w:p w14:paraId="2015E3EB" w14:textId="77777777" w:rsidR="009014C0"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20</w:t>
            </w:r>
            <w:proofErr w:type="gramStart"/>
            <w:r w:rsidRPr="00927926">
              <w:rPr>
                <w:rFonts w:cs="Arial"/>
                <w:sz w:val="22"/>
                <w:szCs w:val="22"/>
              </w:rPr>
              <w:t xml:space="preserve">. </w:t>
            </w:r>
            <w:r w:rsidRPr="00927926">
              <w:rPr>
                <w:rFonts w:cs="Arial"/>
                <w:sz w:val="22"/>
                <w:szCs w:val="22"/>
              </w:rPr>
              <w:tab/>
              <w:t>Date</w:t>
            </w:r>
            <w:proofErr w:type="gramEnd"/>
            <w:r w:rsidRPr="00927926">
              <w:rPr>
                <w:rFonts w:cs="Arial"/>
                <w:sz w:val="22"/>
                <w:szCs w:val="22"/>
              </w:rPr>
              <w:t xml:space="preserve"> </w:t>
            </w:r>
            <w:proofErr w:type="gramStart"/>
            <w:r w:rsidRPr="00927926">
              <w:rPr>
                <w:rFonts w:cs="Arial"/>
                <w:sz w:val="22"/>
                <w:szCs w:val="22"/>
              </w:rPr>
              <w:t>claim</w:t>
            </w:r>
            <w:proofErr w:type="gramEnd"/>
            <w:r w:rsidRPr="00927926">
              <w:rPr>
                <w:rFonts w:cs="Arial"/>
                <w:sz w:val="22"/>
                <w:szCs w:val="22"/>
              </w:rPr>
              <w:t xml:space="preserve"> received by contracting agency:</w:t>
            </w:r>
            <w:r w:rsidR="00B9220C" w:rsidRPr="00927926">
              <w:rPr>
                <w:rFonts w:cs="Arial"/>
                <w:sz w:val="22"/>
                <w:szCs w:val="22"/>
              </w:rPr>
              <w:t xml:space="preserve">       </w:t>
            </w:r>
            <w:r w:rsidRPr="00927926">
              <w:rPr>
                <w:rFonts w:cs="Arial"/>
                <w:sz w:val="22"/>
                <w:szCs w:val="22"/>
              </w:rPr>
              <w:t xml:space="preserve"> </w:t>
            </w:r>
          </w:p>
          <w:p w14:paraId="02D58405" w14:textId="77777777" w:rsidR="00512B55" w:rsidRPr="00927926" w:rsidRDefault="00FF4AD9" w:rsidP="00927926">
            <w:pPr>
              <w:widowControl/>
              <w:tabs>
                <w:tab w:val="left" w:pos="-720"/>
                <w:tab w:val="left" w:pos="432"/>
              </w:tabs>
              <w:spacing w:before="72" w:after="72" w:line="240" w:lineRule="exact"/>
              <w:rPr>
                <w:rFonts w:cs="Arial"/>
                <w:sz w:val="22"/>
                <w:szCs w:val="22"/>
              </w:rPr>
            </w:pPr>
            <w:r w:rsidRPr="00927926">
              <w:rPr>
                <w:rFonts w:cs="Arial"/>
                <w:sz w:val="22"/>
                <w:szCs w:val="22"/>
              </w:rPr>
              <w:t>__________</w:t>
            </w:r>
          </w:p>
        </w:tc>
        <w:tc>
          <w:tcPr>
            <w:tcW w:w="5508" w:type="dxa"/>
          </w:tcPr>
          <w:p w14:paraId="54365888"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 xml:space="preserve">The Oregon Little Miller Act does not specify who at the state agency is supposed to receive the notice. While some state agencies may </w:t>
            </w:r>
            <w:proofErr w:type="gramStart"/>
            <w:r w:rsidRPr="00927926">
              <w:rPr>
                <w:rFonts w:cs="Arial"/>
                <w:sz w:val="22"/>
                <w:szCs w:val="22"/>
              </w:rPr>
              <w:t>attempt</w:t>
            </w:r>
            <w:proofErr w:type="gramEnd"/>
            <w:r w:rsidRPr="00927926">
              <w:rPr>
                <w:rFonts w:cs="Arial"/>
                <w:sz w:val="22"/>
                <w:szCs w:val="22"/>
              </w:rPr>
              <w:t xml:space="preserve"> to adopt specific administrative rules to specify exactly who should receive the notice, the legislative history of the bill suggests that it is incumbent upon the state agency to route the notice to the </w:t>
            </w:r>
            <w:proofErr w:type="gramStart"/>
            <w:r w:rsidRPr="00927926">
              <w:rPr>
                <w:rFonts w:cs="Arial"/>
                <w:sz w:val="22"/>
                <w:szCs w:val="22"/>
              </w:rPr>
              <w:t>appropriate person</w:t>
            </w:r>
            <w:proofErr w:type="gramEnd"/>
            <w:r w:rsidRPr="00927926">
              <w:rPr>
                <w:rFonts w:cs="Arial"/>
                <w:sz w:val="22"/>
                <w:szCs w:val="22"/>
              </w:rPr>
              <w:t xml:space="preserve"> after it </w:t>
            </w:r>
            <w:proofErr w:type="gramStart"/>
            <w:r w:rsidRPr="00927926">
              <w:rPr>
                <w:rFonts w:cs="Arial"/>
                <w:sz w:val="22"/>
                <w:szCs w:val="22"/>
              </w:rPr>
              <w:t>is received</w:t>
            </w:r>
            <w:proofErr w:type="gramEnd"/>
            <w:r w:rsidRPr="00927926">
              <w:rPr>
                <w:rFonts w:cs="Arial"/>
                <w:sz w:val="22"/>
                <w:szCs w:val="22"/>
              </w:rPr>
              <w:t xml:space="preserve">. Nonetheless, to avoid any question on this issue it </w:t>
            </w:r>
            <w:proofErr w:type="gramStart"/>
            <w:r w:rsidRPr="00927926">
              <w:rPr>
                <w:rFonts w:cs="Arial"/>
                <w:sz w:val="22"/>
                <w:szCs w:val="22"/>
              </w:rPr>
              <w:t>is suggested</w:t>
            </w:r>
            <w:proofErr w:type="gramEnd"/>
            <w:r w:rsidRPr="00927926">
              <w:rPr>
                <w:rFonts w:cs="Arial"/>
                <w:sz w:val="22"/>
                <w:szCs w:val="22"/>
              </w:rPr>
              <w:t xml:space="preserve"> that separate notices to the state agency </w:t>
            </w:r>
            <w:proofErr w:type="gramStart"/>
            <w:r w:rsidRPr="00927926">
              <w:rPr>
                <w:rFonts w:cs="Arial"/>
                <w:sz w:val="22"/>
                <w:szCs w:val="22"/>
              </w:rPr>
              <w:t>be directed</w:t>
            </w:r>
            <w:proofErr w:type="gramEnd"/>
            <w:r w:rsidRPr="00927926">
              <w:rPr>
                <w:rFonts w:cs="Arial"/>
                <w:sz w:val="22"/>
                <w:szCs w:val="22"/>
              </w:rPr>
              <w:t xml:space="preserve"> to: (1) The name of the state agency that let the contract (CAUTION! This might not be the same agency for whom the work is </w:t>
            </w:r>
            <w:proofErr w:type="gramStart"/>
            <w:r w:rsidRPr="00927926">
              <w:rPr>
                <w:rFonts w:cs="Arial"/>
                <w:sz w:val="22"/>
                <w:szCs w:val="22"/>
              </w:rPr>
              <w:t>being performed</w:t>
            </w:r>
            <w:proofErr w:type="gramEnd"/>
            <w:r w:rsidRPr="00927926">
              <w:rPr>
                <w:rFonts w:cs="Arial"/>
                <w:sz w:val="22"/>
                <w:szCs w:val="22"/>
              </w:rPr>
              <w:t>); (2) The state agency c/o the project manager; and (3) The state agency c/o the agency’s clerk, auditor, director</w:t>
            </w:r>
            <w:r w:rsidR="00BE02F8" w:rsidRPr="00927926">
              <w:rPr>
                <w:rFonts w:cs="Arial"/>
                <w:sz w:val="22"/>
                <w:szCs w:val="22"/>
              </w:rPr>
              <w:t>,</w:t>
            </w:r>
            <w:r w:rsidRPr="00927926">
              <w:rPr>
                <w:rFonts w:cs="Arial"/>
                <w:sz w:val="22"/>
                <w:szCs w:val="22"/>
              </w:rPr>
              <w:t xml:space="preserve"> or manager</w:t>
            </w:r>
            <w:r w:rsidR="00572C06" w:rsidRPr="00927926">
              <w:rPr>
                <w:rFonts w:cs="Arial"/>
                <w:sz w:val="22"/>
                <w:szCs w:val="22"/>
              </w:rPr>
              <w:t xml:space="preserve">. </w:t>
            </w:r>
          </w:p>
          <w:p w14:paraId="43EF3366" w14:textId="77777777" w:rsidR="00512B55" w:rsidRPr="00927926" w:rsidRDefault="00512B55" w:rsidP="00927926">
            <w:pPr>
              <w:rPr>
                <w:rFonts w:cs="Arial"/>
                <w:sz w:val="22"/>
                <w:szCs w:val="22"/>
              </w:rPr>
            </w:pPr>
          </w:p>
        </w:tc>
      </w:tr>
      <w:tr w:rsidR="00512B55" w:rsidRPr="00927926" w14:paraId="45615B1E" w14:textId="77777777" w:rsidTr="00A97C0C">
        <w:trPr>
          <w:cantSplit/>
          <w:trHeight w:val="142"/>
          <w:jc w:val="center"/>
        </w:trPr>
        <w:tc>
          <w:tcPr>
            <w:tcW w:w="4032" w:type="dxa"/>
          </w:tcPr>
          <w:p w14:paraId="1C79986B"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21</w:t>
            </w:r>
            <w:proofErr w:type="gramStart"/>
            <w:r w:rsidRPr="00927926">
              <w:rPr>
                <w:rFonts w:cs="Arial"/>
                <w:sz w:val="22"/>
                <w:szCs w:val="22"/>
              </w:rPr>
              <w:t xml:space="preserve">. </w:t>
            </w:r>
            <w:r w:rsidRPr="00927926">
              <w:rPr>
                <w:rFonts w:cs="Arial"/>
                <w:sz w:val="22"/>
                <w:szCs w:val="22"/>
              </w:rPr>
              <w:tab/>
              <w:t>Date</w:t>
            </w:r>
            <w:proofErr w:type="gramEnd"/>
            <w:r w:rsidRPr="00927926">
              <w:rPr>
                <w:rFonts w:cs="Arial"/>
                <w:sz w:val="22"/>
                <w:szCs w:val="22"/>
              </w:rPr>
              <w:t xml:space="preserve"> claim received by surety: </w:t>
            </w:r>
            <w:r w:rsidRPr="00927926">
              <w:rPr>
                <w:rFonts w:cs="Arial"/>
                <w:sz w:val="22"/>
                <w:szCs w:val="22"/>
                <w:u w:val="single"/>
              </w:rPr>
              <w:tab/>
            </w:r>
            <w:r w:rsidRPr="00927926">
              <w:rPr>
                <w:rFonts w:cs="Arial"/>
                <w:sz w:val="22"/>
                <w:szCs w:val="22"/>
                <w:u w:val="single"/>
              </w:rPr>
              <w:tab/>
            </w:r>
            <w:r w:rsidRPr="00927926">
              <w:rPr>
                <w:rFonts w:cs="Arial"/>
                <w:sz w:val="22"/>
                <w:szCs w:val="22"/>
                <w:u w:val="single"/>
              </w:rPr>
              <w:tab/>
            </w:r>
            <w:r w:rsidRPr="00927926">
              <w:rPr>
                <w:rFonts w:cs="Arial"/>
                <w:sz w:val="22"/>
                <w:szCs w:val="22"/>
              </w:rPr>
              <w:t xml:space="preserve"> </w:t>
            </w:r>
          </w:p>
        </w:tc>
        <w:tc>
          <w:tcPr>
            <w:tcW w:w="5508" w:type="dxa"/>
          </w:tcPr>
          <w:p w14:paraId="7FD910AB" w14:textId="77777777" w:rsidR="00512B55" w:rsidRPr="005B7995" w:rsidRDefault="00512B55" w:rsidP="00927926">
            <w:pPr>
              <w:widowControl/>
              <w:tabs>
                <w:tab w:val="left" w:pos="-720"/>
                <w:tab w:val="left" w:pos="432"/>
              </w:tabs>
              <w:spacing w:before="72" w:after="72" w:line="240" w:lineRule="exact"/>
              <w:rPr>
                <w:rFonts w:cs="Arial"/>
                <w:sz w:val="22"/>
                <w:szCs w:val="22"/>
              </w:rPr>
            </w:pPr>
            <w:r w:rsidRPr="005B7995">
              <w:rPr>
                <w:rFonts w:cs="Arial"/>
                <w:sz w:val="22"/>
                <w:szCs w:val="22"/>
              </w:rPr>
              <w:t xml:space="preserve">Notice to the surety </w:t>
            </w:r>
            <w:proofErr w:type="gramStart"/>
            <w:r w:rsidRPr="005B7995">
              <w:rPr>
                <w:rFonts w:cs="Arial"/>
                <w:sz w:val="22"/>
                <w:szCs w:val="22"/>
              </w:rPr>
              <w:t>is not mandated</w:t>
            </w:r>
            <w:proofErr w:type="gramEnd"/>
            <w:r w:rsidRPr="005B7995">
              <w:rPr>
                <w:rFonts w:cs="Arial"/>
                <w:sz w:val="22"/>
                <w:szCs w:val="22"/>
              </w:rPr>
              <w:t xml:space="preserve"> to perfect a claim but providing the notice may </w:t>
            </w:r>
            <w:proofErr w:type="gramStart"/>
            <w:r w:rsidRPr="005B7995">
              <w:rPr>
                <w:rFonts w:cs="Arial"/>
                <w:sz w:val="22"/>
                <w:szCs w:val="22"/>
              </w:rPr>
              <w:t>commence</w:t>
            </w:r>
            <w:proofErr w:type="gramEnd"/>
            <w:r w:rsidRPr="005B7995">
              <w:rPr>
                <w:rFonts w:cs="Arial"/>
                <w:sz w:val="22"/>
                <w:szCs w:val="22"/>
              </w:rPr>
              <w:t xml:space="preserve"> the six (6) month </w:t>
            </w:r>
            <w:proofErr w:type="gramStart"/>
            <w:r w:rsidRPr="005B7995">
              <w:rPr>
                <w:rFonts w:cs="Arial"/>
                <w:sz w:val="22"/>
                <w:szCs w:val="22"/>
              </w:rPr>
              <w:t>time period</w:t>
            </w:r>
            <w:proofErr w:type="gramEnd"/>
            <w:r w:rsidRPr="005B7995">
              <w:rPr>
                <w:rFonts w:cs="Arial"/>
                <w:sz w:val="22"/>
                <w:szCs w:val="22"/>
              </w:rPr>
              <w:t xml:space="preserve"> for the recovery of attorney fees against the surety. See ORS 742.061; </w:t>
            </w:r>
            <w:r w:rsidRPr="005B7995">
              <w:rPr>
                <w:rFonts w:cs="Arial"/>
                <w:i/>
                <w:sz w:val="22"/>
                <w:szCs w:val="22"/>
              </w:rPr>
              <w:t>See also Dockins v. State Farm Ins. Co</w:t>
            </w:r>
            <w:r w:rsidRPr="005B7995">
              <w:rPr>
                <w:rFonts w:cs="Arial"/>
                <w:sz w:val="22"/>
                <w:szCs w:val="22"/>
              </w:rPr>
              <w:t>., 329 Or</w:t>
            </w:r>
            <w:r w:rsidR="00C91074" w:rsidRPr="005B7995">
              <w:rPr>
                <w:rFonts w:cs="Arial"/>
                <w:sz w:val="22"/>
                <w:szCs w:val="22"/>
              </w:rPr>
              <w:t>.</w:t>
            </w:r>
            <w:r w:rsidRPr="005B7995">
              <w:rPr>
                <w:rFonts w:cs="Arial"/>
                <w:sz w:val="22"/>
                <w:szCs w:val="22"/>
              </w:rPr>
              <w:t xml:space="preserve"> 20 (1999)</w:t>
            </w:r>
            <w:r w:rsidR="00572C06" w:rsidRPr="005B7995">
              <w:rPr>
                <w:rFonts w:cs="Arial"/>
                <w:sz w:val="22"/>
                <w:szCs w:val="22"/>
              </w:rPr>
              <w:t xml:space="preserve">. </w:t>
            </w:r>
            <w:r w:rsidRPr="005B7995">
              <w:rPr>
                <w:rFonts w:cs="Arial"/>
                <w:sz w:val="22"/>
                <w:szCs w:val="22"/>
              </w:rPr>
              <w:t xml:space="preserve">Claimant may have to provide </w:t>
            </w:r>
            <w:proofErr w:type="gramStart"/>
            <w:r w:rsidRPr="005B7995">
              <w:rPr>
                <w:rFonts w:cs="Arial"/>
                <w:sz w:val="22"/>
                <w:szCs w:val="22"/>
              </w:rPr>
              <w:t>additional</w:t>
            </w:r>
            <w:proofErr w:type="gramEnd"/>
            <w:r w:rsidRPr="005B7995">
              <w:rPr>
                <w:rFonts w:cs="Arial"/>
                <w:sz w:val="22"/>
                <w:szCs w:val="22"/>
              </w:rPr>
              <w:t xml:space="preserve"> information to satisfy “proof of loss” requirement. </w:t>
            </w:r>
            <w:r w:rsidRPr="005B7995">
              <w:rPr>
                <w:rFonts w:cs="Arial"/>
                <w:i/>
                <w:sz w:val="22"/>
                <w:szCs w:val="22"/>
              </w:rPr>
              <w:t xml:space="preserve">See </w:t>
            </w:r>
            <w:r w:rsidR="00572C06" w:rsidRPr="005B7995">
              <w:rPr>
                <w:rFonts w:cs="Arial"/>
                <w:i/>
                <w:sz w:val="22"/>
                <w:szCs w:val="22"/>
              </w:rPr>
              <w:t>e.g.,</w:t>
            </w:r>
            <w:r w:rsidRPr="005B7995">
              <w:rPr>
                <w:rFonts w:cs="Arial"/>
                <w:i/>
                <w:sz w:val="22"/>
                <w:szCs w:val="22"/>
              </w:rPr>
              <w:t xml:space="preserve"> Zimmerman v. Allstate Property </w:t>
            </w:r>
            <w:r w:rsidR="00B577F5" w:rsidRPr="005B7995">
              <w:rPr>
                <w:rFonts w:cs="Arial"/>
                <w:i/>
                <w:sz w:val="22"/>
                <w:szCs w:val="22"/>
              </w:rPr>
              <w:t>&amp;</w:t>
            </w:r>
            <w:r w:rsidRPr="005B7995">
              <w:rPr>
                <w:rFonts w:cs="Arial"/>
                <w:i/>
                <w:sz w:val="22"/>
                <w:szCs w:val="22"/>
              </w:rPr>
              <w:t xml:space="preserve"> Casualty Insurance Co.</w:t>
            </w:r>
            <w:r w:rsidRPr="005B7995">
              <w:rPr>
                <w:rFonts w:cs="Arial"/>
                <w:sz w:val="22"/>
                <w:szCs w:val="22"/>
              </w:rPr>
              <w:t>, 354 Or. 271, 280-281 (2013) (Discussing “proof of loss” as a term of art and substantial compliance with requirement).</w:t>
            </w:r>
          </w:p>
        </w:tc>
      </w:tr>
      <w:tr w:rsidR="00512B55" w:rsidRPr="00927926" w14:paraId="23E19BD7" w14:textId="77777777" w:rsidTr="00A97C0C">
        <w:trPr>
          <w:cantSplit/>
          <w:trHeight w:val="142"/>
          <w:jc w:val="center"/>
        </w:trPr>
        <w:tc>
          <w:tcPr>
            <w:tcW w:w="4032" w:type="dxa"/>
          </w:tcPr>
          <w:p w14:paraId="42F1766C"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22</w:t>
            </w:r>
            <w:proofErr w:type="gramStart"/>
            <w:r w:rsidRPr="00927926">
              <w:rPr>
                <w:rFonts w:cs="Arial"/>
                <w:sz w:val="22"/>
                <w:szCs w:val="22"/>
              </w:rPr>
              <w:t xml:space="preserve">. </w:t>
            </w:r>
            <w:r w:rsidRPr="00927926">
              <w:rPr>
                <w:rFonts w:cs="Arial"/>
                <w:sz w:val="22"/>
                <w:szCs w:val="22"/>
              </w:rPr>
              <w:tab/>
              <w:t>Date</w:t>
            </w:r>
            <w:proofErr w:type="gramEnd"/>
            <w:r w:rsidRPr="00927926">
              <w:rPr>
                <w:rFonts w:cs="Arial"/>
                <w:sz w:val="22"/>
                <w:szCs w:val="22"/>
              </w:rPr>
              <w:t xml:space="preserve"> claim received by customer: </w:t>
            </w:r>
            <w:r w:rsidRPr="00927926">
              <w:rPr>
                <w:rFonts w:cs="Arial"/>
                <w:sz w:val="22"/>
                <w:szCs w:val="22"/>
                <w:u w:val="single"/>
              </w:rPr>
              <w:tab/>
            </w:r>
            <w:r w:rsidRPr="00927926">
              <w:rPr>
                <w:rFonts w:cs="Arial"/>
                <w:sz w:val="22"/>
                <w:szCs w:val="22"/>
                <w:u w:val="single"/>
              </w:rPr>
              <w:tab/>
            </w:r>
          </w:p>
        </w:tc>
        <w:tc>
          <w:tcPr>
            <w:tcW w:w="5508" w:type="dxa"/>
          </w:tcPr>
          <w:p w14:paraId="4458F5FC" w14:textId="77777777" w:rsidR="00512B55" w:rsidRPr="005B7995" w:rsidRDefault="00512B55" w:rsidP="00927926">
            <w:pPr>
              <w:widowControl/>
              <w:tabs>
                <w:tab w:val="left" w:pos="-720"/>
                <w:tab w:val="left" w:pos="432"/>
              </w:tabs>
              <w:spacing w:before="72" w:after="72" w:line="240" w:lineRule="exact"/>
              <w:rPr>
                <w:rFonts w:cs="Arial"/>
                <w:sz w:val="22"/>
                <w:szCs w:val="22"/>
              </w:rPr>
            </w:pPr>
          </w:p>
        </w:tc>
      </w:tr>
      <w:tr w:rsidR="00512B55" w:rsidRPr="00927926" w14:paraId="0CC904A5" w14:textId="77777777" w:rsidTr="00A97C0C">
        <w:trPr>
          <w:cantSplit/>
          <w:trHeight w:val="142"/>
          <w:jc w:val="center"/>
        </w:trPr>
        <w:tc>
          <w:tcPr>
            <w:tcW w:w="4032" w:type="dxa"/>
          </w:tcPr>
          <w:p w14:paraId="21245209"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lastRenderedPageBreak/>
              <w:t>23</w:t>
            </w:r>
            <w:proofErr w:type="gramStart"/>
            <w:r w:rsidRPr="00927926">
              <w:rPr>
                <w:rFonts w:cs="Arial"/>
                <w:sz w:val="22"/>
                <w:szCs w:val="22"/>
              </w:rPr>
              <w:t xml:space="preserve">. </w:t>
            </w:r>
            <w:r w:rsidRPr="00927926">
              <w:rPr>
                <w:rFonts w:cs="Arial"/>
                <w:sz w:val="22"/>
                <w:szCs w:val="22"/>
              </w:rPr>
              <w:tab/>
              <w:t>Date</w:t>
            </w:r>
            <w:proofErr w:type="gramEnd"/>
            <w:r w:rsidRPr="00927926">
              <w:rPr>
                <w:rFonts w:cs="Arial"/>
                <w:sz w:val="22"/>
                <w:szCs w:val="22"/>
              </w:rPr>
              <w:t xml:space="preserve"> complaint filed: </w:t>
            </w:r>
            <w:r w:rsidRPr="00927926">
              <w:rPr>
                <w:rFonts w:cs="Arial"/>
                <w:sz w:val="22"/>
                <w:szCs w:val="22"/>
                <w:u w:val="single"/>
              </w:rPr>
              <w:tab/>
            </w:r>
            <w:r w:rsidRPr="00927926">
              <w:rPr>
                <w:rFonts w:cs="Arial"/>
                <w:sz w:val="22"/>
                <w:szCs w:val="22"/>
                <w:u w:val="single"/>
              </w:rPr>
              <w:tab/>
            </w:r>
            <w:r w:rsidRPr="00927926">
              <w:rPr>
                <w:rFonts w:cs="Arial"/>
                <w:sz w:val="22"/>
                <w:szCs w:val="22"/>
                <w:u w:val="single"/>
              </w:rPr>
              <w:tab/>
            </w:r>
            <w:r w:rsidRPr="00927926">
              <w:rPr>
                <w:rFonts w:cs="Arial"/>
                <w:sz w:val="22"/>
                <w:szCs w:val="22"/>
                <w:u w:val="single"/>
              </w:rPr>
              <w:tab/>
            </w:r>
            <w:r w:rsidRPr="00927926">
              <w:rPr>
                <w:rFonts w:cs="Arial"/>
                <w:sz w:val="22"/>
                <w:szCs w:val="22"/>
              </w:rPr>
              <w:t xml:space="preserve"> </w:t>
            </w:r>
          </w:p>
        </w:tc>
        <w:tc>
          <w:tcPr>
            <w:tcW w:w="5508" w:type="dxa"/>
          </w:tcPr>
          <w:p w14:paraId="096BEF53" w14:textId="5A5C1102" w:rsidR="00512B55" w:rsidRPr="005B7995" w:rsidRDefault="00512B55" w:rsidP="00927926">
            <w:pPr>
              <w:widowControl/>
              <w:tabs>
                <w:tab w:val="left" w:pos="-720"/>
                <w:tab w:val="left" w:pos="432"/>
              </w:tabs>
              <w:spacing w:before="72" w:after="72" w:line="240" w:lineRule="exact"/>
              <w:rPr>
                <w:rFonts w:cs="Arial"/>
                <w:sz w:val="22"/>
                <w:szCs w:val="22"/>
              </w:rPr>
            </w:pPr>
            <w:r w:rsidRPr="005B7995">
              <w:rPr>
                <w:rFonts w:cs="Arial"/>
                <w:sz w:val="22"/>
                <w:szCs w:val="22"/>
              </w:rPr>
              <w:t xml:space="preserve">The complaint on the bond under Oregon’s Little Miller Act must </w:t>
            </w:r>
            <w:proofErr w:type="gramStart"/>
            <w:r w:rsidRPr="005B7995">
              <w:rPr>
                <w:rFonts w:cs="Arial"/>
                <w:sz w:val="22"/>
                <w:szCs w:val="22"/>
              </w:rPr>
              <w:t>be filed</w:t>
            </w:r>
            <w:proofErr w:type="gramEnd"/>
            <w:r w:rsidRPr="005B7995">
              <w:rPr>
                <w:rFonts w:cs="Arial"/>
                <w:sz w:val="22"/>
                <w:szCs w:val="22"/>
              </w:rPr>
              <w:t xml:space="preserve"> no later than two years after the claimant’s last day on the project (not based on the claim date)</w:t>
            </w:r>
            <w:r w:rsidR="00572C06" w:rsidRPr="005B7995">
              <w:rPr>
                <w:rFonts w:cs="Arial"/>
                <w:sz w:val="22"/>
                <w:szCs w:val="22"/>
              </w:rPr>
              <w:t xml:space="preserve">. </w:t>
            </w:r>
            <w:r w:rsidRPr="005B7995">
              <w:rPr>
                <w:rFonts w:cs="Arial"/>
                <w:sz w:val="22"/>
                <w:szCs w:val="22"/>
              </w:rPr>
              <w:t>ORS 279C.610.</w:t>
            </w:r>
            <w:r w:rsidR="00635343" w:rsidRPr="005B7995">
              <w:rPr>
                <w:rFonts w:cs="Arial"/>
                <w:sz w:val="22"/>
                <w:szCs w:val="22"/>
              </w:rPr>
              <w:t xml:space="preserve">  If bond language </w:t>
            </w:r>
            <w:proofErr w:type="gramStart"/>
            <w:r w:rsidR="00635343" w:rsidRPr="005B7995">
              <w:rPr>
                <w:rFonts w:cs="Arial"/>
                <w:sz w:val="22"/>
                <w:szCs w:val="22"/>
              </w:rPr>
              <w:t>contains</w:t>
            </w:r>
            <w:proofErr w:type="gramEnd"/>
            <w:r w:rsidR="00635343" w:rsidRPr="005B7995">
              <w:rPr>
                <w:rFonts w:cs="Arial"/>
                <w:sz w:val="22"/>
                <w:szCs w:val="22"/>
              </w:rPr>
              <w:t xml:space="preserve"> a different deadline for suit</w:t>
            </w:r>
            <w:r w:rsidR="001A1FE1" w:rsidRPr="005B7995">
              <w:rPr>
                <w:rFonts w:cs="Arial"/>
                <w:sz w:val="22"/>
                <w:szCs w:val="22"/>
              </w:rPr>
              <w:t>, s</w:t>
            </w:r>
            <w:r w:rsidR="00635343" w:rsidRPr="005B7995">
              <w:rPr>
                <w:rFonts w:cs="Arial"/>
                <w:sz w:val="22"/>
                <w:szCs w:val="22"/>
              </w:rPr>
              <w:t xml:space="preserve">ee OSB CLE CONSTRUCTION LAW (2019 EDITION) CHAPTER 10, THE SURETY RELATIONSHIP AND PAYMENT AND PERFORMANCE BONDS § 10.2-4(b) (the surety may not </w:t>
            </w:r>
            <w:proofErr w:type="gramStart"/>
            <w:r w:rsidR="00635343" w:rsidRPr="005B7995">
              <w:rPr>
                <w:rFonts w:cs="Arial"/>
                <w:sz w:val="22"/>
                <w:szCs w:val="22"/>
              </w:rPr>
              <w:t>be entitled</w:t>
            </w:r>
            <w:proofErr w:type="gramEnd"/>
            <w:r w:rsidR="00635343" w:rsidRPr="005B7995">
              <w:rPr>
                <w:rFonts w:cs="Arial"/>
                <w:sz w:val="22"/>
                <w:szCs w:val="22"/>
              </w:rPr>
              <w:t xml:space="preserve"> to rely on more restrictive requirements). See also ORS 742.370 (Bonds construed as including omitted statutory provisions)</w:t>
            </w:r>
            <w:r w:rsidR="001A1FE1" w:rsidRPr="005B7995">
              <w:rPr>
                <w:rFonts w:cs="Arial"/>
                <w:sz w:val="22"/>
                <w:szCs w:val="22"/>
              </w:rPr>
              <w:t>.</w:t>
            </w:r>
          </w:p>
        </w:tc>
      </w:tr>
      <w:tr w:rsidR="00512B55" w:rsidRPr="00927926" w14:paraId="52396AA9" w14:textId="77777777" w:rsidTr="00A97C0C">
        <w:trPr>
          <w:cantSplit/>
          <w:trHeight w:val="142"/>
          <w:jc w:val="center"/>
        </w:trPr>
        <w:tc>
          <w:tcPr>
            <w:tcW w:w="4032" w:type="dxa"/>
          </w:tcPr>
          <w:p w14:paraId="16C3D7FB" w14:textId="77777777" w:rsidR="00512B55" w:rsidRPr="00927926" w:rsidRDefault="00512B55" w:rsidP="00927926">
            <w:pPr>
              <w:widowControl/>
              <w:tabs>
                <w:tab w:val="left" w:pos="-720"/>
                <w:tab w:val="left" w:pos="432"/>
              </w:tabs>
              <w:spacing w:before="72" w:after="72" w:line="240" w:lineRule="exact"/>
              <w:rPr>
                <w:rFonts w:cs="Arial"/>
                <w:sz w:val="22"/>
                <w:szCs w:val="22"/>
              </w:rPr>
            </w:pPr>
            <w:r w:rsidRPr="00927926">
              <w:rPr>
                <w:rFonts w:cs="Arial"/>
                <w:sz w:val="22"/>
                <w:szCs w:val="22"/>
              </w:rPr>
              <w:t>24</w:t>
            </w:r>
            <w:proofErr w:type="gramStart"/>
            <w:r w:rsidRPr="00927926">
              <w:rPr>
                <w:rFonts w:cs="Arial"/>
                <w:sz w:val="22"/>
                <w:szCs w:val="22"/>
              </w:rPr>
              <w:t xml:space="preserve">.  </w:t>
            </w:r>
            <w:r w:rsidR="003513EA" w:rsidRPr="00927926">
              <w:rPr>
                <w:rFonts w:cs="Arial"/>
                <w:sz w:val="22"/>
                <w:szCs w:val="22"/>
              </w:rPr>
              <w:t>A</w:t>
            </w:r>
            <w:r w:rsidRPr="00927926">
              <w:rPr>
                <w:rFonts w:cs="Arial"/>
                <w:sz w:val="22"/>
                <w:szCs w:val="22"/>
              </w:rPr>
              <w:t>bility</w:t>
            </w:r>
            <w:proofErr w:type="gramEnd"/>
            <w:r w:rsidRPr="00927926">
              <w:rPr>
                <w:rFonts w:cs="Arial"/>
                <w:sz w:val="22"/>
                <w:szCs w:val="22"/>
              </w:rPr>
              <w:t xml:space="preserve"> to recover attorney fees</w:t>
            </w:r>
            <w:r w:rsidR="003513EA" w:rsidRPr="00927926">
              <w:rPr>
                <w:rFonts w:cs="Arial"/>
                <w:sz w:val="22"/>
                <w:szCs w:val="22"/>
              </w:rPr>
              <w:t xml:space="preserve"> against surety of bond provided </w:t>
            </w:r>
            <w:proofErr w:type="gramStart"/>
            <w:r w:rsidR="00CE24A5" w:rsidRPr="00927926">
              <w:rPr>
                <w:rFonts w:cs="Arial"/>
                <w:sz w:val="22"/>
                <w:szCs w:val="22"/>
              </w:rPr>
              <w:t>pursuant to</w:t>
            </w:r>
            <w:proofErr w:type="gramEnd"/>
            <w:r w:rsidR="00CE24A5" w:rsidRPr="00927926">
              <w:rPr>
                <w:rFonts w:cs="Arial"/>
                <w:sz w:val="22"/>
                <w:szCs w:val="22"/>
              </w:rPr>
              <w:t xml:space="preserve"> ORS </w:t>
            </w:r>
            <w:r w:rsidR="003513EA" w:rsidRPr="00927926">
              <w:rPr>
                <w:rFonts w:cs="Arial"/>
                <w:sz w:val="22"/>
                <w:szCs w:val="22"/>
              </w:rPr>
              <w:t>279C.380</w:t>
            </w:r>
            <w:r w:rsidRPr="00927926">
              <w:rPr>
                <w:rFonts w:cs="Arial"/>
                <w:sz w:val="22"/>
                <w:szCs w:val="22"/>
              </w:rPr>
              <w:t>.</w:t>
            </w:r>
          </w:p>
        </w:tc>
        <w:tc>
          <w:tcPr>
            <w:tcW w:w="5508" w:type="dxa"/>
          </w:tcPr>
          <w:p w14:paraId="724167D6" w14:textId="77777777" w:rsidR="00512B55" w:rsidRPr="005B7995" w:rsidRDefault="003513EA" w:rsidP="00927926">
            <w:pPr>
              <w:widowControl/>
              <w:tabs>
                <w:tab w:val="left" w:pos="-720"/>
                <w:tab w:val="left" w:pos="432"/>
              </w:tabs>
              <w:spacing w:before="72" w:after="72" w:line="240" w:lineRule="exact"/>
              <w:rPr>
                <w:rFonts w:cs="Arial"/>
                <w:sz w:val="22"/>
                <w:szCs w:val="22"/>
              </w:rPr>
            </w:pPr>
            <w:r w:rsidRPr="005B7995">
              <w:rPr>
                <w:rFonts w:cs="Arial"/>
                <w:sz w:val="22"/>
                <w:szCs w:val="22"/>
              </w:rPr>
              <w:t>See 3</w:t>
            </w:r>
            <w:r w:rsidR="009014C0" w:rsidRPr="005B7995">
              <w:rPr>
                <w:rFonts w:cs="Arial"/>
                <w:sz w:val="22"/>
                <w:szCs w:val="22"/>
              </w:rPr>
              <w:t xml:space="preserve"> and 21</w:t>
            </w:r>
            <w:r w:rsidRPr="005B7995">
              <w:rPr>
                <w:rFonts w:cs="Arial"/>
                <w:sz w:val="22"/>
                <w:szCs w:val="22"/>
              </w:rPr>
              <w:t xml:space="preserve"> above. </w:t>
            </w:r>
            <w:r w:rsidR="00512B55" w:rsidRPr="005B7995">
              <w:rPr>
                <w:rFonts w:cs="Arial"/>
                <w:sz w:val="22"/>
                <w:szCs w:val="22"/>
              </w:rPr>
              <w:t>Recovery of attorney fees under ORS 742.061</w:t>
            </w:r>
            <w:r w:rsidR="001974DB" w:rsidRPr="005B7995">
              <w:rPr>
                <w:rFonts w:cs="Arial"/>
                <w:sz w:val="22"/>
                <w:szCs w:val="22"/>
              </w:rPr>
              <w:t>(1)</w:t>
            </w:r>
            <w:r w:rsidR="00512B55" w:rsidRPr="005B7995">
              <w:rPr>
                <w:rFonts w:cs="Arial"/>
                <w:sz w:val="22"/>
                <w:szCs w:val="22"/>
              </w:rPr>
              <w:t xml:space="preserve"> requires </w:t>
            </w:r>
            <w:r w:rsidRPr="005B7995">
              <w:rPr>
                <w:rFonts w:cs="Arial"/>
                <w:sz w:val="22"/>
                <w:szCs w:val="22"/>
              </w:rPr>
              <w:t xml:space="preserve">submission of a “proof of loss” and “recovery” that exceeds the amount of any tender made by the defendant. </w:t>
            </w:r>
            <w:r w:rsidRPr="005B7995">
              <w:rPr>
                <w:rFonts w:cs="Arial"/>
                <w:i/>
                <w:iCs/>
                <w:sz w:val="22"/>
                <w:szCs w:val="22"/>
              </w:rPr>
              <w:t>See Long v. Farmers Ins. Co. of Or.</w:t>
            </w:r>
            <w:r w:rsidRPr="005B7995">
              <w:rPr>
                <w:rFonts w:cs="Arial"/>
                <w:sz w:val="22"/>
                <w:szCs w:val="22"/>
              </w:rPr>
              <w:t>, 360 Or 791, 803-804 (2017) (discussing proof of loss and “recovery” in context of a</w:t>
            </w:r>
            <w:r w:rsidR="00CE24A5" w:rsidRPr="005B7995">
              <w:rPr>
                <w:rFonts w:cs="Arial"/>
                <w:sz w:val="22"/>
                <w:szCs w:val="22"/>
              </w:rPr>
              <w:t>ctio</w:t>
            </w:r>
            <w:r w:rsidRPr="005B7995">
              <w:rPr>
                <w:rFonts w:cs="Arial"/>
                <w:sz w:val="22"/>
                <w:szCs w:val="22"/>
              </w:rPr>
              <w:t>n</w:t>
            </w:r>
            <w:r w:rsidR="00CE24A5" w:rsidRPr="005B7995">
              <w:rPr>
                <w:rFonts w:cs="Arial"/>
                <w:sz w:val="22"/>
                <w:szCs w:val="22"/>
              </w:rPr>
              <w:t xml:space="preserve"> on an</w:t>
            </w:r>
            <w:r w:rsidRPr="005B7995">
              <w:rPr>
                <w:rFonts w:cs="Arial"/>
                <w:sz w:val="22"/>
                <w:szCs w:val="22"/>
              </w:rPr>
              <w:t xml:space="preserve"> insurance policy).</w:t>
            </w:r>
          </w:p>
        </w:tc>
      </w:tr>
    </w:tbl>
    <w:p w14:paraId="7FBDC136" w14:textId="77777777" w:rsidR="00512B55" w:rsidRPr="00927926" w:rsidRDefault="00512B55" w:rsidP="00927926">
      <w:pPr>
        <w:widowControl/>
        <w:tabs>
          <w:tab w:val="left" w:pos="-720"/>
          <w:tab w:val="left" w:pos="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cs="Arial"/>
          <w:sz w:val="22"/>
          <w:szCs w:val="22"/>
        </w:rPr>
      </w:pPr>
    </w:p>
    <w:p w14:paraId="5C18FAC3" w14:textId="77777777" w:rsidR="00B87731" w:rsidRDefault="00B87731" w:rsidP="00927926">
      <w:pPr>
        <w:jc w:val="center"/>
        <w:rPr>
          <w:rFonts w:cs="Arial"/>
          <w:b/>
          <w:sz w:val="22"/>
          <w:szCs w:val="22"/>
        </w:rPr>
      </w:pPr>
    </w:p>
    <w:p w14:paraId="384CB5AF" w14:textId="77777777" w:rsidR="00B87731" w:rsidRDefault="00B87731" w:rsidP="00927926">
      <w:pPr>
        <w:jc w:val="center"/>
        <w:rPr>
          <w:rFonts w:cs="Arial"/>
          <w:b/>
          <w:sz w:val="22"/>
          <w:szCs w:val="22"/>
        </w:rPr>
      </w:pPr>
    </w:p>
    <w:p w14:paraId="5BDD5F52" w14:textId="77777777" w:rsidR="00B87731" w:rsidRDefault="00B87731" w:rsidP="00927926">
      <w:pPr>
        <w:jc w:val="center"/>
        <w:rPr>
          <w:rFonts w:cs="Arial"/>
          <w:b/>
          <w:sz w:val="22"/>
          <w:szCs w:val="22"/>
        </w:rPr>
      </w:pPr>
    </w:p>
    <w:p w14:paraId="298C8D40" w14:textId="77777777" w:rsidR="00B87731" w:rsidRDefault="00B87731" w:rsidP="00927926">
      <w:pPr>
        <w:jc w:val="center"/>
        <w:rPr>
          <w:rFonts w:cs="Arial"/>
          <w:b/>
          <w:sz w:val="22"/>
          <w:szCs w:val="22"/>
        </w:rPr>
      </w:pPr>
    </w:p>
    <w:p w14:paraId="07405CD8" w14:textId="77777777" w:rsidR="00B87731" w:rsidRDefault="00B87731" w:rsidP="00927926">
      <w:pPr>
        <w:jc w:val="center"/>
        <w:rPr>
          <w:rFonts w:cs="Arial"/>
          <w:b/>
          <w:sz w:val="22"/>
          <w:szCs w:val="22"/>
        </w:rPr>
      </w:pPr>
    </w:p>
    <w:p w14:paraId="57E9550A" w14:textId="77777777" w:rsidR="00B87731" w:rsidRDefault="00B87731" w:rsidP="00927926">
      <w:pPr>
        <w:jc w:val="center"/>
        <w:rPr>
          <w:rFonts w:cs="Arial"/>
          <w:b/>
          <w:sz w:val="22"/>
          <w:szCs w:val="22"/>
        </w:rPr>
      </w:pPr>
    </w:p>
    <w:p w14:paraId="2E17A0A1" w14:textId="77777777" w:rsidR="00B87731" w:rsidRDefault="00B87731" w:rsidP="00927926">
      <w:pPr>
        <w:jc w:val="center"/>
        <w:rPr>
          <w:rFonts w:cs="Arial"/>
          <w:b/>
          <w:sz w:val="22"/>
          <w:szCs w:val="22"/>
        </w:rPr>
      </w:pPr>
    </w:p>
    <w:p w14:paraId="7265A752" w14:textId="77777777" w:rsidR="00B87731" w:rsidRDefault="00B87731" w:rsidP="00927926">
      <w:pPr>
        <w:jc w:val="center"/>
        <w:rPr>
          <w:rFonts w:cs="Arial"/>
          <w:b/>
          <w:sz w:val="22"/>
          <w:szCs w:val="22"/>
        </w:rPr>
      </w:pPr>
    </w:p>
    <w:p w14:paraId="68F17093" w14:textId="77777777" w:rsidR="00B87731" w:rsidRDefault="00B87731" w:rsidP="00927926">
      <w:pPr>
        <w:jc w:val="center"/>
        <w:rPr>
          <w:rFonts w:cs="Arial"/>
          <w:b/>
          <w:sz w:val="22"/>
          <w:szCs w:val="22"/>
        </w:rPr>
      </w:pPr>
    </w:p>
    <w:p w14:paraId="4117843B" w14:textId="77777777" w:rsidR="00B87731" w:rsidRDefault="00B87731" w:rsidP="00927926">
      <w:pPr>
        <w:jc w:val="center"/>
        <w:rPr>
          <w:rFonts w:cs="Arial"/>
          <w:b/>
          <w:sz w:val="22"/>
          <w:szCs w:val="22"/>
        </w:rPr>
      </w:pPr>
    </w:p>
    <w:p w14:paraId="3A71F12A" w14:textId="77777777" w:rsidR="00B87731" w:rsidRDefault="00B87731" w:rsidP="00927926">
      <w:pPr>
        <w:jc w:val="center"/>
        <w:rPr>
          <w:rFonts w:cs="Arial"/>
          <w:b/>
          <w:sz w:val="22"/>
          <w:szCs w:val="22"/>
        </w:rPr>
      </w:pPr>
    </w:p>
    <w:p w14:paraId="0A47DD54" w14:textId="77777777" w:rsidR="00B87731" w:rsidRDefault="00B87731" w:rsidP="00927926">
      <w:pPr>
        <w:jc w:val="center"/>
        <w:rPr>
          <w:rFonts w:cs="Arial"/>
          <w:b/>
          <w:sz w:val="22"/>
          <w:szCs w:val="22"/>
        </w:rPr>
      </w:pPr>
    </w:p>
    <w:p w14:paraId="3F0C01CF" w14:textId="77777777" w:rsidR="00B87731" w:rsidRDefault="00B87731" w:rsidP="00927926">
      <w:pPr>
        <w:jc w:val="center"/>
        <w:rPr>
          <w:rFonts w:cs="Arial"/>
          <w:b/>
          <w:sz w:val="22"/>
          <w:szCs w:val="22"/>
        </w:rPr>
      </w:pPr>
    </w:p>
    <w:p w14:paraId="127F66B7" w14:textId="77777777" w:rsidR="00B87731" w:rsidRDefault="00B87731" w:rsidP="00927926">
      <w:pPr>
        <w:jc w:val="center"/>
        <w:rPr>
          <w:rFonts w:cs="Arial"/>
          <w:b/>
          <w:sz w:val="22"/>
          <w:szCs w:val="22"/>
        </w:rPr>
      </w:pPr>
    </w:p>
    <w:p w14:paraId="71DE5299" w14:textId="77777777" w:rsidR="00B87731" w:rsidRDefault="00B87731" w:rsidP="00927926">
      <w:pPr>
        <w:jc w:val="center"/>
        <w:rPr>
          <w:rFonts w:cs="Arial"/>
          <w:b/>
          <w:sz w:val="22"/>
          <w:szCs w:val="22"/>
        </w:rPr>
      </w:pPr>
    </w:p>
    <w:p w14:paraId="63429EA2" w14:textId="77777777" w:rsidR="00B87731" w:rsidRDefault="00B87731" w:rsidP="00927926">
      <w:pPr>
        <w:jc w:val="center"/>
        <w:rPr>
          <w:rFonts w:cs="Arial"/>
          <w:b/>
          <w:sz w:val="22"/>
          <w:szCs w:val="22"/>
        </w:rPr>
      </w:pPr>
    </w:p>
    <w:p w14:paraId="130E05AC" w14:textId="77777777" w:rsidR="00B87731" w:rsidRDefault="00B87731" w:rsidP="00927926">
      <w:pPr>
        <w:jc w:val="center"/>
        <w:rPr>
          <w:rFonts w:cs="Arial"/>
          <w:b/>
          <w:sz w:val="22"/>
          <w:szCs w:val="22"/>
        </w:rPr>
      </w:pPr>
    </w:p>
    <w:p w14:paraId="62047AAD" w14:textId="77777777" w:rsidR="00B87731" w:rsidRDefault="00B87731" w:rsidP="00927926">
      <w:pPr>
        <w:jc w:val="center"/>
        <w:rPr>
          <w:rFonts w:cs="Arial"/>
          <w:b/>
          <w:sz w:val="22"/>
          <w:szCs w:val="22"/>
        </w:rPr>
      </w:pPr>
    </w:p>
    <w:p w14:paraId="016E26DC" w14:textId="77777777" w:rsidR="00B87731" w:rsidRDefault="00B87731" w:rsidP="00927926">
      <w:pPr>
        <w:jc w:val="center"/>
        <w:rPr>
          <w:rFonts w:cs="Arial"/>
          <w:b/>
          <w:sz w:val="22"/>
          <w:szCs w:val="22"/>
        </w:rPr>
      </w:pPr>
    </w:p>
    <w:p w14:paraId="7D124E06" w14:textId="77777777" w:rsidR="00B87731" w:rsidRDefault="00B87731" w:rsidP="00927926">
      <w:pPr>
        <w:jc w:val="center"/>
        <w:rPr>
          <w:rFonts w:cs="Arial"/>
          <w:b/>
          <w:sz w:val="22"/>
          <w:szCs w:val="22"/>
        </w:rPr>
      </w:pPr>
    </w:p>
    <w:p w14:paraId="69157578" w14:textId="77777777" w:rsidR="00B87731" w:rsidRDefault="00B87731" w:rsidP="00927926">
      <w:pPr>
        <w:jc w:val="center"/>
        <w:rPr>
          <w:rFonts w:cs="Arial"/>
          <w:b/>
          <w:sz w:val="22"/>
          <w:szCs w:val="22"/>
        </w:rPr>
      </w:pPr>
    </w:p>
    <w:p w14:paraId="2DAA436F" w14:textId="3DB1CD15" w:rsidR="0025588B" w:rsidRPr="00927926" w:rsidRDefault="0025588B" w:rsidP="00927926">
      <w:pPr>
        <w:jc w:val="center"/>
        <w:rPr>
          <w:rFonts w:cs="Arial"/>
          <w:b/>
          <w:sz w:val="22"/>
          <w:szCs w:val="22"/>
          <w:u w:val="single"/>
        </w:rPr>
      </w:pPr>
      <w:r w:rsidRPr="00927926">
        <w:rPr>
          <w:rFonts w:cs="Arial"/>
          <w:b/>
          <w:sz w:val="22"/>
          <w:szCs w:val="22"/>
        </w:rPr>
        <w:t>IMPORTANT NOTICES</w:t>
      </w:r>
    </w:p>
    <w:p w14:paraId="77E9B4E4" w14:textId="77777777" w:rsidR="0025588B" w:rsidRPr="00927926" w:rsidRDefault="0025588B" w:rsidP="00927926">
      <w:pPr>
        <w:ind w:left="-540"/>
        <w:rPr>
          <w:rFonts w:cs="Arial"/>
          <w:sz w:val="22"/>
          <w:szCs w:val="22"/>
          <w:u w:val="single"/>
        </w:rPr>
      </w:pPr>
    </w:p>
    <w:p w14:paraId="5BCD782D" w14:textId="19054EEC" w:rsidR="009D7FED" w:rsidRPr="00927926" w:rsidRDefault="0025588B" w:rsidP="00A97C0C">
      <w:pPr>
        <w:jc w:val="both"/>
        <w:rPr>
          <w:rFonts w:cs="Arial"/>
          <w:sz w:val="22"/>
          <w:szCs w:val="22"/>
        </w:rPr>
      </w:pPr>
      <w:r w:rsidRPr="00927926">
        <w:rPr>
          <w:rFonts w:cs="Arial"/>
          <w:sz w:val="22"/>
          <w:szCs w:val="22"/>
        </w:rPr>
        <w:t xml:space="preserve">This material </w:t>
      </w:r>
      <w:proofErr w:type="gramStart"/>
      <w:r w:rsidRPr="00927926">
        <w:rPr>
          <w:rFonts w:cs="Arial"/>
          <w:sz w:val="22"/>
          <w:szCs w:val="22"/>
        </w:rPr>
        <w:t>is provided</w:t>
      </w:r>
      <w:proofErr w:type="gramEnd"/>
      <w:r w:rsidRPr="00927926">
        <w:rPr>
          <w:rFonts w:cs="Arial"/>
          <w:sz w:val="22"/>
          <w:szCs w:val="22"/>
        </w:rPr>
        <w:t xml:space="preserve"> for informational purposes only and does not </w:t>
      </w:r>
      <w:proofErr w:type="gramStart"/>
      <w:r w:rsidRPr="00927926">
        <w:rPr>
          <w:rFonts w:cs="Arial"/>
          <w:sz w:val="22"/>
          <w:szCs w:val="22"/>
        </w:rPr>
        <w:t>establish</w:t>
      </w:r>
      <w:proofErr w:type="gramEnd"/>
      <w:r w:rsidRPr="00927926">
        <w:rPr>
          <w:rFonts w:cs="Arial"/>
          <w:sz w:val="22"/>
          <w:szCs w:val="22"/>
        </w:rPr>
        <w:t xml:space="preserve">, report, or create the standard of care for attorneys in Oregon, nor does it represent a complete analysis of the topics presented. Readers should conduct their own </w:t>
      </w:r>
      <w:proofErr w:type="gramStart"/>
      <w:r w:rsidRPr="00927926">
        <w:rPr>
          <w:rFonts w:cs="Arial"/>
          <w:sz w:val="22"/>
          <w:szCs w:val="22"/>
        </w:rPr>
        <w:t>appropriate legal</w:t>
      </w:r>
      <w:proofErr w:type="gramEnd"/>
      <w:r w:rsidRPr="00927926">
        <w:rPr>
          <w:rFonts w:cs="Arial"/>
          <w:sz w:val="22"/>
          <w:szCs w:val="22"/>
        </w:rPr>
        <w:t xml:space="preserve"> research. The information presented does not </w:t>
      </w:r>
      <w:proofErr w:type="gramStart"/>
      <w:r w:rsidRPr="00927926">
        <w:rPr>
          <w:rFonts w:cs="Arial"/>
          <w:sz w:val="22"/>
          <w:szCs w:val="22"/>
        </w:rPr>
        <w:t>represent</w:t>
      </w:r>
      <w:proofErr w:type="gramEnd"/>
      <w:r w:rsidRPr="00927926">
        <w:rPr>
          <w:rFonts w:cs="Arial"/>
          <w:sz w:val="22"/>
          <w:szCs w:val="22"/>
        </w:rPr>
        <w:t xml:space="preserve"> legal advice</w:t>
      </w:r>
      <w:r w:rsidR="00572C06" w:rsidRPr="00927926">
        <w:rPr>
          <w:rFonts w:cs="Arial"/>
          <w:sz w:val="22"/>
          <w:szCs w:val="22"/>
        </w:rPr>
        <w:t xml:space="preserve">. </w:t>
      </w:r>
      <w:r w:rsidRPr="00927926">
        <w:rPr>
          <w:rFonts w:cs="Arial"/>
          <w:sz w:val="22"/>
          <w:szCs w:val="22"/>
        </w:rPr>
        <w:t xml:space="preserve">This information may not </w:t>
      </w:r>
      <w:proofErr w:type="gramStart"/>
      <w:r w:rsidRPr="00927926">
        <w:rPr>
          <w:rFonts w:cs="Arial"/>
          <w:sz w:val="22"/>
          <w:szCs w:val="22"/>
        </w:rPr>
        <w:t>be republished</w:t>
      </w:r>
      <w:proofErr w:type="gramEnd"/>
      <w:r w:rsidRPr="00927926">
        <w:rPr>
          <w:rFonts w:cs="Arial"/>
          <w:sz w:val="22"/>
          <w:szCs w:val="22"/>
        </w:rPr>
        <w:t xml:space="preserve">, sold, or used in any other form without the written consent of the Oregon State Bar Professional Liability Fund except that permission </w:t>
      </w:r>
      <w:proofErr w:type="gramStart"/>
      <w:r w:rsidRPr="00927926">
        <w:rPr>
          <w:rFonts w:cs="Arial"/>
          <w:sz w:val="22"/>
          <w:szCs w:val="22"/>
        </w:rPr>
        <w:t>is granted</w:t>
      </w:r>
      <w:proofErr w:type="gramEnd"/>
      <w:r w:rsidRPr="00927926">
        <w:rPr>
          <w:rFonts w:cs="Arial"/>
          <w:sz w:val="22"/>
          <w:szCs w:val="22"/>
        </w:rPr>
        <w:t xml:space="preserve"> for Oregon lawyers to use and </w:t>
      </w:r>
      <w:proofErr w:type="gramStart"/>
      <w:r w:rsidRPr="00927926">
        <w:rPr>
          <w:rFonts w:cs="Arial"/>
          <w:sz w:val="22"/>
          <w:szCs w:val="22"/>
        </w:rPr>
        <w:t>modify</w:t>
      </w:r>
      <w:proofErr w:type="gramEnd"/>
      <w:r w:rsidRPr="00927926">
        <w:rPr>
          <w:rFonts w:cs="Arial"/>
          <w:sz w:val="22"/>
          <w:szCs w:val="22"/>
        </w:rPr>
        <w:t xml:space="preserve"> these materials for </w:t>
      </w:r>
      <w:r w:rsidR="00C830DC" w:rsidRPr="00927926">
        <w:rPr>
          <w:rFonts w:cs="Arial"/>
          <w:sz w:val="22"/>
          <w:szCs w:val="22"/>
        </w:rPr>
        <w:t>use in</w:t>
      </w:r>
      <w:r w:rsidR="00B50A26" w:rsidRPr="00927926">
        <w:rPr>
          <w:rFonts w:cs="Arial"/>
          <w:sz w:val="22"/>
          <w:szCs w:val="22"/>
        </w:rPr>
        <w:t xml:space="preserve"> their own practices</w:t>
      </w:r>
      <w:r w:rsidR="00572C06" w:rsidRPr="00927926">
        <w:rPr>
          <w:rFonts w:cs="Arial"/>
          <w:sz w:val="22"/>
          <w:szCs w:val="22"/>
        </w:rPr>
        <w:t xml:space="preserve">. </w:t>
      </w:r>
      <w:r w:rsidR="00B50A26" w:rsidRPr="00927926">
        <w:rPr>
          <w:rFonts w:cs="Arial"/>
          <w:sz w:val="22"/>
          <w:szCs w:val="22"/>
        </w:rPr>
        <w:t>© 202</w:t>
      </w:r>
      <w:r w:rsidR="00B87731">
        <w:rPr>
          <w:rFonts w:cs="Arial"/>
          <w:sz w:val="22"/>
          <w:szCs w:val="22"/>
        </w:rPr>
        <w:t>5</w:t>
      </w:r>
      <w:r w:rsidR="00C830DC" w:rsidRPr="00927926">
        <w:rPr>
          <w:rFonts w:cs="Arial"/>
          <w:sz w:val="22"/>
          <w:szCs w:val="22"/>
        </w:rPr>
        <w:t xml:space="preserve"> </w:t>
      </w:r>
      <w:r w:rsidR="00D4686F" w:rsidRPr="00927926">
        <w:rPr>
          <w:rFonts w:cs="Arial"/>
          <w:sz w:val="22"/>
          <w:szCs w:val="22"/>
        </w:rPr>
        <w:t>OSB Professional Liability Fund</w:t>
      </w:r>
    </w:p>
    <w:sectPr w:rsidR="009D7FED" w:rsidRPr="00927926" w:rsidSect="00A97C0C">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0BF2" w14:textId="77777777" w:rsidR="00DA7900" w:rsidRDefault="00DA7900">
      <w:r>
        <w:separator/>
      </w:r>
    </w:p>
  </w:endnote>
  <w:endnote w:type="continuationSeparator" w:id="0">
    <w:p w14:paraId="5A1EEBBE" w14:textId="77777777" w:rsidR="00DA7900" w:rsidRDefault="00DA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8339" w14:textId="5C98B8EF" w:rsidR="00CD245F" w:rsidRPr="00F67ED1" w:rsidRDefault="00CD245F" w:rsidP="00CD245F">
    <w:pPr>
      <w:tabs>
        <w:tab w:val="right" w:pos="8640"/>
      </w:tabs>
      <w:suppressAutoHyphens/>
      <w:jc w:val="both"/>
      <w:rPr>
        <w:spacing w:val="-1"/>
        <w:sz w:val="16"/>
        <w:szCs w:val="16"/>
      </w:rPr>
    </w:pPr>
    <w:r w:rsidRPr="00F67ED1">
      <w:rPr>
        <w:spacing w:val="-2"/>
        <w:sz w:val="16"/>
        <w:szCs w:val="16"/>
      </w:rPr>
      <w:t xml:space="preserve">PROFESSIONAL LIABILITY FUND </w:t>
    </w:r>
    <w:r w:rsidRPr="00F67ED1">
      <w:rPr>
        <w:spacing w:val="-1"/>
        <w:sz w:val="16"/>
        <w:szCs w:val="16"/>
      </w:rPr>
      <w:t>[R</w:t>
    </w:r>
    <w:r w:rsidR="00C830DC">
      <w:rPr>
        <w:spacing w:val="-1"/>
        <w:sz w:val="16"/>
        <w:szCs w:val="16"/>
      </w:rPr>
      <w:t xml:space="preserve">ev. </w:t>
    </w:r>
    <w:r w:rsidR="001A1FE1">
      <w:rPr>
        <w:spacing w:val="-1"/>
        <w:sz w:val="16"/>
        <w:szCs w:val="16"/>
      </w:rPr>
      <w:t>11</w:t>
    </w:r>
    <w:r w:rsidR="00A82110">
      <w:rPr>
        <w:spacing w:val="-1"/>
        <w:sz w:val="16"/>
        <w:szCs w:val="16"/>
      </w:rPr>
      <w:t>/</w:t>
    </w:r>
    <w:r w:rsidR="001A1FE1">
      <w:rPr>
        <w:spacing w:val="-1"/>
        <w:sz w:val="16"/>
        <w:szCs w:val="16"/>
      </w:rPr>
      <w:t>2025</w:t>
    </w:r>
    <w:r w:rsidRPr="00F67ED1">
      <w:rPr>
        <w:spacing w:val="-1"/>
        <w:sz w:val="16"/>
        <w:szCs w:val="16"/>
      </w:rPr>
      <w:t>]</w:t>
    </w:r>
    <w:r w:rsidRPr="00F67ED1">
      <w:rPr>
        <w:spacing w:val="-1"/>
        <w:sz w:val="16"/>
        <w:szCs w:val="16"/>
      </w:rPr>
      <w:tab/>
    </w:r>
    <w:r w:rsidR="00512B55">
      <w:rPr>
        <w:spacing w:val="-1"/>
        <w:sz w:val="16"/>
        <w:szCs w:val="16"/>
      </w:rPr>
      <w:t>Oregon Public Works Checklist</w:t>
    </w:r>
    <w:r w:rsidRPr="00F67ED1">
      <w:rPr>
        <w:spacing w:val="-1"/>
        <w:sz w:val="16"/>
        <w:szCs w:val="16"/>
      </w:rPr>
      <w:t xml:space="preserve"> - </w:t>
    </w:r>
    <w:r w:rsidRPr="00F67ED1">
      <w:rPr>
        <w:spacing w:val="-2"/>
        <w:sz w:val="16"/>
        <w:szCs w:val="16"/>
      </w:rPr>
      <w:t xml:space="preserve">Page </w:t>
    </w:r>
    <w:r w:rsidRPr="00F67ED1">
      <w:rPr>
        <w:spacing w:val="-2"/>
        <w:sz w:val="16"/>
        <w:szCs w:val="16"/>
      </w:rPr>
      <w:fldChar w:fldCharType="begin"/>
    </w:r>
    <w:r w:rsidRPr="00F67ED1">
      <w:rPr>
        <w:spacing w:val="-2"/>
        <w:sz w:val="16"/>
        <w:szCs w:val="16"/>
      </w:rPr>
      <w:instrText>page \* arabic</w:instrText>
    </w:r>
    <w:r w:rsidRPr="00F67ED1">
      <w:rPr>
        <w:spacing w:val="-2"/>
        <w:sz w:val="16"/>
        <w:szCs w:val="16"/>
      </w:rPr>
      <w:fldChar w:fldCharType="separate"/>
    </w:r>
    <w:r w:rsidR="003C0F9F">
      <w:rPr>
        <w:noProof/>
        <w:spacing w:val="-2"/>
        <w:sz w:val="16"/>
        <w:szCs w:val="16"/>
      </w:rPr>
      <w:t>5</w:t>
    </w:r>
    <w:r w:rsidRPr="00F67ED1">
      <w:rPr>
        <w:spacing w:val="-2"/>
        <w:sz w:val="16"/>
        <w:szCs w:val="16"/>
      </w:rPr>
      <w:fldChar w:fldCharType="end"/>
    </w:r>
    <w:r w:rsidRPr="00F67ED1">
      <w:rPr>
        <w:spacing w:val="-1"/>
        <w:sz w:val="16"/>
        <w:szCs w:val="16"/>
      </w:rPr>
      <w:t xml:space="preserve">  </w:t>
    </w:r>
  </w:p>
  <w:p w14:paraId="4D45F600" w14:textId="77777777" w:rsidR="0025588B" w:rsidRPr="006E298D" w:rsidRDefault="0025588B" w:rsidP="0025588B">
    <w:pPr>
      <w:tabs>
        <w:tab w:val="center" w:pos="2160"/>
        <w:tab w:val="right" w:pos="9360"/>
      </w:tabs>
      <w:rPr>
        <w:rFonts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8D05" w14:textId="77777777" w:rsidR="00DA7900" w:rsidRDefault="00DA7900">
      <w:r>
        <w:separator/>
      </w:r>
    </w:p>
  </w:footnote>
  <w:footnote w:type="continuationSeparator" w:id="0">
    <w:p w14:paraId="4C3C7C8C" w14:textId="77777777" w:rsidR="00DA7900" w:rsidRDefault="00DA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D946" w14:textId="77777777" w:rsidR="00512B55" w:rsidRPr="007F4762" w:rsidRDefault="00512B55" w:rsidP="00512B55">
    <w:pPr>
      <w:pStyle w:val="Header"/>
      <w:jc w:val="center"/>
      <w:rPr>
        <w:rFonts w:cs="Arial"/>
        <w:b/>
        <w:sz w:val="28"/>
      </w:rPr>
    </w:pPr>
    <w:smartTag w:uri="urn:schemas-microsoft-com:office:smarttags" w:element="State">
      <w:smartTag w:uri="urn:schemas-microsoft-com:office:smarttags" w:element="place">
        <w:r w:rsidRPr="00512B55">
          <w:rPr>
            <w:rFonts w:cs="Arial"/>
            <w:b/>
            <w:sz w:val="24"/>
          </w:rPr>
          <w:t>OREGON</w:t>
        </w:r>
      </w:smartTag>
    </w:smartTag>
    <w:r w:rsidRPr="00512B55">
      <w:rPr>
        <w:rFonts w:cs="Arial"/>
        <w:b/>
        <w:sz w:val="24"/>
      </w:rPr>
      <w:t xml:space="preserve"> PUBLIC WORKS CHECKLIST</w:t>
    </w:r>
  </w:p>
  <w:p w14:paraId="55EE3E7A" w14:textId="77777777" w:rsidR="0025588B" w:rsidRPr="00993442" w:rsidRDefault="0025588B">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59E"/>
    <w:multiLevelType w:val="singleLevel"/>
    <w:tmpl w:val="B2F4AA3C"/>
    <w:lvl w:ilvl="0">
      <w:start w:val="1"/>
      <w:numFmt w:val="decimal"/>
      <w:lvlText w:val="%1."/>
      <w:lvlJc w:val="left"/>
      <w:pPr>
        <w:tabs>
          <w:tab w:val="num" w:pos="360"/>
        </w:tabs>
        <w:ind w:left="360" w:hanging="360"/>
      </w:pPr>
      <w:rPr>
        <w:rFonts w:hint="default"/>
        <w:b/>
        <w:u w:val="none"/>
      </w:rPr>
    </w:lvl>
  </w:abstractNum>
  <w:abstractNum w:abstractNumId="1" w15:restartNumberingAfterBreak="0">
    <w:nsid w:val="0B1B4B10"/>
    <w:multiLevelType w:val="singleLevel"/>
    <w:tmpl w:val="EE84F008"/>
    <w:lvl w:ilvl="0">
      <w:start w:val="1"/>
      <w:numFmt w:val="decimal"/>
      <w:lvlText w:val="%1."/>
      <w:lvlJc w:val="left"/>
      <w:pPr>
        <w:tabs>
          <w:tab w:val="num" w:pos="360"/>
        </w:tabs>
        <w:ind w:left="360" w:hanging="360"/>
      </w:pPr>
      <w:rPr>
        <w:rFonts w:hint="default"/>
        <w:b/>
        <w:u w:val="none"/>
      </w:rPr>
    </w:lvl>
  </w:abstractNum>
  <w:abstractNum w:abstractNumId="2" w15:restartNumberingAfterBreak="0">
    <w:nsid w:val="45A5016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2C86301"/>
    <w:multiLevelType w:val="singleLevel"/>
    <w:tmpl w:val="DCF0826E"/>
    <w:lvl w:ilvl="0">
      <w:start w:val="1"/>
      <w:numFmt w:val="decimal"/>
      <w:lvlText w:val="%1."/>
      <w:lvlJc w:val="left"/>
      <w:pPr>
        <w:tabs>
          <w:tab w:val="num" w:pos="360"/>
        </w:tabs>
        <w:ind w:left="360" w:hanging="360"/>
      </w:pPr>
      <w:rPr>
        <w:rFonts w:hint="default"/>
        <w:b/>
        <w:u w:val="none"/>
      </w:rPr>
    </w:lvl>
  </w:abstractNum>
  <w:abstractNum w:abstractNumId="4" w15:restartNumberingAfterBreak="0">
    <w:nsid w:val="71D00D4D"/>
    <w:multiLevelType w:val="singleLevel"/>
    <w:tmpl w:val="0F3829B8"/>
    <w:lvl w:ilvl="0">
      <w:start w:val="5"/>
      <w:numFmt w:val="decimal"/>
      <w:lvlText w:val="%1."/>
      <w:lvlJc w:val="left"/>
      <w:pPr>
        <w:tabs>
          <w:tab w:val="num" w:pos="720"/>
        </w:tabs>
        <w:ind w:left="720" w:hanging="720"/>
      </w:pPr>
      <w:rPr>
        <w:rFonts w:hint="default"/>
        <w:u w:val="none"/>
      </w:rPr>
    </w:lvl>
  </w:abstractNum>
  <w:abstractNum w:abstractNumId="5" w15:restartNumberingAfterBreak="0">
    <w:nsid w:val="75F80C6C"/>
    <w:multiLevelType w:val="hybridMultilevel"/>
    <w:tmpl w:val="86BC668E"/>
    <w:lvl w:ilvl="0" w:tplc="B218C5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927556">
    <w:abstractNumId w:val="4"/>
  </w:num>
  <w:num w:numId="2" w16cid:durableId="161284388">
    <w:abstractNumId w:val="2"/>
  </w:num>
  <w:num w:numId="3" w16cid:durableId="1810198296">
    <w:abstractNumId w:val="3"/>
  </w:num>
  <w:num w:numId="4" w16cid:durableId="909995760">
    <w:abstractNumId w:val="1"/>
  </w:num>
  <w:num w:numId="5" w16cid:durableId="1116677727">
    <w:abstractNumId w:val="0"/>
  </w:num>
  <w:num w:numId="6" w16cid:durableId="1297488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70"/>
    <w:rsid w:val="000139FA"/>
    <w:rsid w:val="00033501"/>
    <w:rsid w:val="00065F98"/>
    <w:rsid w:val="00067E23"/>
    <w:rsid w:val="000824F6"/>
    <w:rsid w:val="000C208E"/>
    <w:rsid w:val="000F77AD"/>
    <w:rsid w:val="00104909"/>
    <w:rsid w:val="00105BD3"/>
    <w:rsid w:val="00111F8C"/>
    <w:rsid w:val="00117E70"/>
    <w:rsid w:val="00122846"/>
    <w:rsid w:val="00123370"/>
    <w:rsid w:val="00164F1A"/>
    <w:rsid w:val="001831D6"/>
    <w:rsid w:val="001974DB"/>
    <w:rsid w:val="001A1FE1"/>
    <w:rsid w:val="001B3CF0"/>
    <w:rsid w:val="002037BB"/>
    <w:rsid w:val="002546EB"/>
    <w:rsid w:val="0025588B"/>
    <w:rsid w:val="002A0A11"/>
    <w:rsid w:val="002A6E3F"/>
    <w:rsid w:val="002B199B"/>
    <w:rsid w:val="002C59D8"/>
    <w:rsid w:val="002D067B"/>
    <w:rsid w:val="002D61EE"/>
    <w:rsid w:val="002E513B"/>
    <w:rsid w:val="003042C6"/>
    <w:rsid w:val="003074A9"/>
    <w:rsid w:val="00313F66"/>
    <w:rsid w:val="00314F86"/>
    <w:rsid w:val="00315E04"/>
    <w:rsid w:val="00333027"/>
    <w:rsid w:val="00345D72"/>
    <w:rsid w:val="003513EA"/>
    <w:rsid w:val="00354BF4"/>
    <w:rsid w:val="003654DD"/>
    <w:rsid w:val="00371FF8"/>
    <w:rsid w:val="003811BE"/>
    <w:rsid w:val="00385823"/>
    <w:rsid w:val="003A2152"/>
    <w:rsid w:val="003A54BB"/>
    <w:rsid w:val="003C0F9F"/>
    <w:rsid w:val="003C53A4"/>
    <w:rsid w:val="003E4531"/>
    <w:rsid w:val="003E5DF3"/>
    <w:rsid w:val="00451620"/>
    <w:rsid w:val="0046417B"/>
    <w:rsid w:val="004963AE"/>
    <w:rsid w:val="004A6600"/>
    <w:rsid w:val="004C2038"/>
    <w:rsid w:val="004C2EB5"/>
    <w:rsid w:val="004F084B"/>
    <w:rsid w:val="004F37DB"/>
    <w:rsid w:val="004F738F"/>
    <w:rsid w:val="00503E60"/>
    <w:rsid w:val="0051026C"/>
    <w:rsid w:val="00512B55"/>
    <w:rsid w:val="00515F59"/>
    <w:rsid w:val="00521F6E"/>
    <w:rsid w:val="00523734"/>
    <w:rsid w:val="0053655A"/>
    <w:rsid w:val="00537755"/>
    <w:rsid w:val="0054418E"/>
    <w:rsid w:val="00554385"/>
    <w:rsid w:val="00566B05"/>
    <w:rsid w:val="00572C06"/>
    <w:rsid w:val="005B7995"/>
    <w:rsid w:val="005C2FE6"/>
    <w:rsid w:val="005C35B2"/>
    <w:rsid w:val="005D15FB"/>
    <w:rsid w:val="005D4C94"/>
    <w:rsid w:val="005E59F1"/>
    <w:rsid w:val="00616D1E"/>
    <w:rsid w:val="00635343"/>
    <w:rsid w:val="006569B8"/>
    <w:rsid w:val="00662F04"/>
    <w:rsid w:val="00675443"/>
    <w:rsid w:val="00683407"/>
    <w:rsid w:val="006B1A1A"/>
    <w:rsid w:val="006C1CE6"/>
    <w:rsid w:val="006E298D"/>
    <w:rsid w:val="006F45DD"/>
    <w:rsid w:val="00704D78"/>
    <w:rsid w:val="0072401A"/>
    <w:rsid w:val="0072632B"/>
    <w:rsid w:val="0075005C"/>
    <w:rsid w:val="007A4827"/>
    <w:rsid w:val="007B37B3"/>
    <w:rsid w:val="007F6B72"/>
    <w:rsid w:val="00823B07"/>
    <w:rsid w:val="00827417"/>
    <w:rsid w:val="00841BE3"/>
    <w:rsid w:val="0084504F"/>
    <w:rsid w:val="008465F1"/>
    <w:rsid w:val="008558BE"/>
    <w:rsid w:val="008600D3"/>
    <w:rsid w:val="008831D2"/>
    <w:rsid w:val="00885555"/>
    <w:rsid w:val="008942B8"/>
    <w:rsid w:val="008A4957"/>
    <w:rsid w:val="008A7486"/>
    <w:rsid w:val="008B1A92"/>
    <w:rsid w:val="009014C0"/>
    <w:rsid w:val="00905C05"/>
    <w:rsid w:val="0091378C"/>
    <w:rsid w:val="009173E9"/>
    <w:rsid w:val="0092103B"/>
    <w:rsid w:val="00922D11"/>
    <w:rsid w:val="009270C1"/>
    <w:rsid w:val="00927926"/>
    <w:rsid w:val="0093050A"/>
    <w:rsid w:val="009364E1"/>
    <w:rsid w:val="00954FE1"/>
    <w:rsid w:val="009559C6"/>
    <w:rsid w:val="00971F54"/>
    <w:rsid w:val="00983216"/>
    <w:rsid w:val="00993442"/>
    <w:rsid w:val="009D7FED"/>
    <w:rsid w:val="009E4628"/>
    <w:rsid w:val="009F30CB"/>
    <w:rsid w:val="00A00ACB"/>
    <w:rsid w:val="00A11CE4"/>
    <w:rsid w:val="00A1204A"/>
    <w:rsid w:val="00A509DC"/>
    <w:rsid w:val="00A81318"/>
    <w:rsid w:val="00A82110"/>
    <w:rsid w:val="00A90140"/>
    <w:rsid w:val="00A97C0C"/>
    <w:rsid w:val="00AA14D5"/>
    <w:rsid w:val="00AC007F"/>
    <w:rsid w:val="00AD1E47"/>
    <w:rsid w:val="00AD4621"/>
    <w:rsid w:val="00AD7E9D"/>
    <w:rsid w:val="00AF6ADB"/>
    <w:rsid w:val="00B115E0"/>
    <w:rsid w:val="00B50A26"/>
    <w:rsid w:val="00B577F5"/>
    <w:rsid w:val="00B66E09"/>
    <w:rsid w:val="00B67EAF"/>
    <w:rsid w:val="00B81AD4"/>
    <w:rsid w:val="00B87731"/>
    <w:rsid w:val="00B9220C"/>
    <w:rsid w:val="00BE02F8"/>
    <w:rsid w:val="00BE77B9"/>
    <w:rsid w:val="00BF77E5"/>
    <w:rsid w:val="00C04D44"/>
    <w:rsid w:val="00C14E55"/>
    <w:rsid w:val="00C1777C"/>
    <w:rsid w:val="00C47F15"/>
    <w:rsid w:val="00C62636"/>
    <w:rsid w:val="00C6719D"/>
    <w:rsid w:val="00C830DC"/>
    <w:rsid w:val="00C83D50"/>
    <w:rsid w:val="00C91074"/>
    <w:rsid w:val="00CA2828"/>
    <w:rsid w:val="00CA5199"/>
    <w:rsid w:val="00CB763B"/>
    <w:rsid w:val="00CD245F"/>
    <w:rsid w:val="00CD3AED"/>
    <w:rsid w:val="00CD410B"/>
    <w:rsid w:val="00CE24A5"/>
    <w:rsid w:val="00D02A00"/>
    <w:rsid w:val="00D05833"/>
    <w:rsid w:val="00D143D2"/>
    <w:rsid w:val="00D357C8"/>
    <w:rsid w:val="00D367B3"/>
    <w:rsid w:val="00D42772"/>
    <w:rsid w:val="00D4686F"/>
    <w:rsid w:val="00D6198E"/>
    <w:rsid w:val="00D62DC6"/>
    <w:rsid w:val="00D63EFB"/>
    <w:rsid w:val="00D66188"/>
    <w:rsid w:val="00DA0241"/>
    <w:rsid w:val="00DA6F8D"/>
    <w:rsid w:val="00DA7900"/>
    <w:rsid w:val="00DB354E"/>
    <w:rsid w:val="00DD7783"/>
    <w:rsid w:val="00DF14CC"/>
    <w:rsid w:val="00DF21C3"/>
    <w:rsid w:val="00DF6EF9"/>
    <w:rsid w:val="00E022FD"/>
    <w:rsid w:val="00E11F42"/>
    <w:rsid w:val="00E21BF2"/>
    <w:rsid w:val="00E2627A"/>
    <w:rsid w:val="00E91694"/>
    <w:rsid w:val="00E91EBE"/>
    <w:rsid w:val="00EA29B0"/>
    <w:rsid w:val="00EB1873"/>
    <w:rsid w:val="00EE1776"/>
    <w:rsid w:val="00F1510A"/>
    <w:rsid w:val="00F3017A"/>
    <w:rsid w:val="00F5250E"/>
    <w:rsid w:val="00F548EA"/>
    <w:rsid w:val="00F754AA"/>
    <w:rsid w:val="00FB1E00"/>
    <w:rsid w:val="00FE3948"/>
    <w:rsid w:val="00FE4652"/>
    <w:rsid w:val="00FE7AA8"/>
    <w:rsid w:val="00FF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FC9A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tabs>
        <w:tab w:val="center" w:pos="4680"/>
      </w:tabs>
      <w:jc w:val="center"/>
      <w:outlineLvl w:val="0"/>
    </w:pPr>
    <w:rPr>
      <w:b/>
      <w:u w:val="single"/>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link w:val="Heading3Char"/>
    <w:qFormat/>
    <w:pPr>
      <w:keepNext/>
      <w:tabs>
        <w:tab w:val="center" w:pos="4680"/>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sz w:val="28"/>
    </w:rPr>
  </w:style>
  <w:style w:type="paragraph" w:styleId="BodyText">
    <w:name w:val="Body Text"/>
    <w:basedOn w:val="Normal"/>
    <w:semiHidden/>
  </w:style>
  <w:style w:type="paragraph" w:styleId="Header">
    <w:name w:val="header"/>
    <w:basedOn w:val="Normal"/>
    <w:semiHidden/>
    <w:pPr>
      <w:tabs>
        <w:tab w:val="center" w:pos="4320"/>
        <w:tab w:val="right" w:pos="8640"/>
      </w:tabs>
    </w:pPr>
  </w:style>
  <w:style w:type="paragraph" w:customStyle="1" w:styleId="Style1">
    <w:name w:val="Style1"/>
    <w:basedOn w:val="Normal"/>
    <w:pPr>
      <w:jc w:val="center"/>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style>
  <w:style w:type="paragraph" w:styleId="Subtitle">
    <w:name w:val="Subtitle"/>
    <w:basedOn w:val="Normal"/>
    <w:qFormat/>
    <w:pPr>
      <w:tabs>
        <w:tab w:val="center" w:pos="4680"/>
      </w:tabs>
      <w:jc w:val="center"/>
    </w:pPr>
    <w:rPr>
      <w:b/>
      <w:sz w:val="28"/>
    </w:rPr>
  </w:style>
  <w:style w:type="paragraph" w:styleId="BalloonText">
    <w:name w:val="Balloon Text"/>
    <w:basedOn w:val="Normal"/>
    <w:link w:val="BalloonTextChar"/>
    <w:uiPriority w:val="99"/>
    <w:semiHidden/>
    <w:unhideWhenUsed/>
    <w:rsid w:val="0072632B"/>
    <w:rPr>
      <w:rFonts w:ascii="Tahoma" w:hAnsi="Tahoma"/>
      <w:sz w:val="16"/>
      <w:szCs w:val="16"/>
      <w:lang w:val="x-none" w:eastAsia="x-none"/>
    </w:rPr>
  </w:style>
  <w:style w:type="character" w:customStyle="1" w:styleId="BalloonTextChar">
    <w:name w:val="Balloon Text Char"/>
    <w:link w:val="BalloonText"/>
    <w:uiPriority w:val="99"/>
    <w:semiHidden/>
    <w:rsid w:val="0072632B"/>
    <w:rPr>
      <w:rFonts w:ascii="Tahoma" w:hAnsi="Tahoma" w:cs="Tahoma"/>
      <w:snapToGrid w:val="0"/>
      <w:sz w:val="16"/>
      <w:szCs w:val="16"/>
    </w:rPr>
  </w:style>
  <w:style w:type="character" w:customStyle="1" w:styleId="Heading3Char">
    <w:name w:val="Heading 3 Char"/>
    <w:link w:val="Heading3"/>
    <w:rsid w:val="00BF77E5"/>
    <w:rPr>
      <w:rFonts w:ascii="Arial" w:hAnsi="Arial"/>
      <w:b/>
      <w:snapToGrid w:val="0"/>
    </w:rPr>
  </w:style>
  <w:style w:type="character" w:styleId="CommentReference">
    <w:name w:val="annotation reference"/>
    <w:uiPriority w:val="99"/>
    <w:semiHidden/>
    <w:unhideWhenUsed/>
    <w:rsid w:val="0054418E"/>
    <w:rPr>
      <w:sz w:val="16"/>
      <w:szCs w:val="16"/>
    </w:rPr>
  </w:style>
  <w:style w:type="paragraph" w:styleId="CommentText">
    <w:name w:val="annotation text"/>
    <w:basedOn w:val="Normal"/>
    <w:link w:val="CommentTextChar"/>
    <w:uiPriority w:val="99"/>
    <w:semiHidden/>
    <w:unhideWhenUsed/>
    <w:rsid w:val="0054418E"/>
  </w:style>
  <w:style w:type="character" w:customStyle="1" w:styleId="CommentTextChar">
    <w:name w:val="Comment Text Char"/>
    <w:link w:val="CommentText"/>
    <w:uiPriority w:val="99"/>
    <w:semiHidden/>
    <w:rsid w:val="0054418E"/>
    <w:rPr>
      <w:rFonts w:ascii="Arial" w:hAnsi="Arial"/>
      <w:snapToGrid w:val="0"/>
    </w:rPr>
  </w:style>
  <w:style w:type="paragraph" w:styleId="CommentSubject">
    <w:name w:val="annotation subject"/>
    <w:basedOn w:val="CommentText"/>
    <w:next w:val="CommentText"/>
    <w:link w:val="CommentSubjectChar"/>
    <w:uiPriority w:val="99"/>
    <w:semiHidden/>
    <w:unhideWhenUsed/>
    <w:rsid w:val="0054418E"/>
    <w:rPr>
      <w:b/>
      <w:bCs/>
    </w:rPr>
  </w:style>
  <w:style w:type="character" w:customStyle="1" w:styleId="CommentSubjectChar">
    <w:name w:val="Comment Subject Char"/>
    <w:link w:val="CommentSubject"/>
    <w:uiPriority w:val="99"/>
    <w:semiHidden/>
    <w:rsid w:val="0054418E"/>
    <w:rPr>
      <w:rFonts w:ascii="Arial" w:hAnsi="Arial"/>
      <w:b/>
      <w:bCs/>
      <w:snapToGrid w:val="0"/>
    </w:rPr>
  </w:style>
  <w:style w:type="paragraph" w:styleId="ListParagraph">
    <w:name w:val="List Paragraph"/>
    <w:basedOn w:val="Normal"/>
    <w:uiPriority w:val="34"/>
    <w:qFormat/>
    <w:rsid w:val="00D6198E"/>
    <w:pPr>
      <w:ind w:left="720"/>
    </w:pPr>
  </w:style>
  <w:style w:type="paragraph" w:styleId="Revision">
    <w:name w:val="Revision"/>
    <w:hidden/>
    <w:uiPriority w:val="99"/>
    <w:semiHidden/>
    <w:rsid w:val="00515F59"/>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7AD067E1-F25C-43F6-B1E6-8A39BD78261D}"/>
</file>

<file path=customXml/itemProps2.xml><?xml version="1.0" encoding="utf-8"?>
<ds:datastoreItem xmlns:ds="http://schemas.openxmlformats.org/officeDocument/2006/customXml" ds:itemID="{E9350265-6D50-466D-83C5-3F9C7AC19F9C}"/>
</file>

<file path=customXml/itemProps3.xml><?xml version="1.0" encoding="utf-8"?>
<ds:datastoreItem xmlns:ds="http://schemas.openxmlformats.org/officeDocument/2006/customXml" ds:itemID="{5C4C112B-F854-47A3-A4D7-8FE8C60ECF05}"/>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7882</Characters>
  <Application>Microsoft Office Word</Application>
  <DocSecurity>0</DocSecurity>
  <Lines>271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2025-11-03T05:27:00Z</dcterms:created>
  <dcterms:modified xsi:type="dcterms:W3CDTF">2025-11-03T05:27:00Z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200000.000000000</vt:lpwstr>
  </property>
  <property fmtid="{D5CDD505-2E9C-101B-9397-08002B2CF9AE}" pid="3" name="MediaServiceImageTags">
    <vt:lpwstr/>
  </property>
  <property fmtid="{D5CDD505-2E9C-101B-9397-08002B2CF9AE}" pid="4" name="ContentTypeId">
    <vt:lpwstr>0x010100A1DDC338712AAF438B3B42F2A08579B3</vt:lpwstr>
  </property>
</Properties>
</file>