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8E99" w14:textId="109EA90B" w:rsidR="005E76C9" w:rsidRPr="00485241" w:rsidRDefault="005E76C9" w:rsidP="00485241">
      <w:pPr>
        <w:pStyle w:val="ListParagraph"/>
        <w:numPr>
          <w:ilvl w:val="0"/>
          <w:numId w:val="1"/>
        </w:numPr>
        <w:ind w:left="360"/>
        <w:rPr>
          <w:rFonts w:ascii="Arial" w:hAnsi="Arial" w:cs="Arial"/>
          <w:b/>
          <w:bCs/>
        </w:rPr>
      </w:pPr>
      <w:r w:rsidRPr="00485241">
        <w:rPr>
          <w:rFonts w:ascii="Arial" w:hAnsi="Arial" w:cs="Arial"/>
          <w:b/>
          <w:bCs/>
        </w:rPr>
        <w:t xml:space="preserve">Does </w:t>
      </w:r>
      <w:r w:rsidR="005C3658" w:rsidRPr="00485241">
        <w:rPr>
          <w:rFonts w:ascii="Arial" w:hAnsi="Arial" w:cs="Arial"/>
          <w:b/>
          <w:bCs/>
        </w:rPr>
        <w:t>my</w:t>
      </w:r>
      <w:r w:rsidRPr="00485241">
        <w:rPr>
          <w:rFonts w:ascii="Arial" w:hAnsi="Arial" w:cs="Arial"/>
          <w:b/>
          <w:bCs/>
        </w:rPr>
        <w:t xml:space="preserve"> transaction involve </w:t>
      </w:r>
      <w:r w:rsidR="00D17F2E" w:rsidRPr="00485241">
        <w:rPr>
          <w:rFonts w:ascii="Arial" w:hAnsi="Arial" w:cs="Arial"/>
          <w:b/>
          <w:bCs/>
        </w:rPr>
        <w:t xml:space="preserve">investors and the sale </w:t>
      </w:r>
      <w:r w:rsidRPr="00485241">
        <w:rPr>
          <w:rFonts w:ascii="Arial" w:hAnsi="Arial" w:cs="Arial"/>
          <w:b/>
          <w:bCs/>
        </w:rPr>
        <w:t>of securities?</w:t>
      </w:r>
    </w:p>
    <w:p w14:paraId="5B6D88FB" w14:textId="7B1655C3" w:rsidR="005E76C9" w:rsidRPr="00485241" w:rsidRDefault="005E76C9" w:rsidP="00D17F2E">
      <w:pPr>
        <w:ind w:firstLine="720"/>
        <w:rPr>
          <w:rFonts w:ascii="Arial" w:hAnsi="Arial" w:cs="Arial"/>
        </w:rPr>
      </w:pPr>
      <w:r w:rsidRPr="00485241">
        <w:rPr>
          <w:rFonts w:ascii="Arial" w:hAnsi="Arial" w:cs="Arial"/>
        </w:rPr>
        <w:t xml:space="preserve">Securities </w:t>
      </w:r>
      <w:proofErr w:type="gramStart"/>
      <w:r w:rsidRPr="00485241">
        <w:rPr>
          <w:rFonts w:ascii="Arial" w:hAnsi="Arial" w:cs="Arial"/>
        </w:rPr>
        <w:t>are defined</w:t>
      </w:r>
      <w:proofErr w:type="gramEnd"/>
      <w:r w:rsidRPr="00485241">
        <w:rPr>
          <w:rFonts w:ascii="Arial" w:hAnsi="Arial" w:cs="Arial"/>
        </w:rPr>
        <w:t xml:space="preserve"> under ORS </w:t>
      </w:r>
      <w:r w:rsidR="00D17F2E" w:rsidRPr="00485241">
        <w:rPr>
          <w:rFonts w:ascii="Arial" w:hAnsi="Arial" w:cs="Arial"/>
        </w:rPr>
        <w:t>59.015</w:t>
      </w:r>
      <w:r w:rsidR="00E8781B">
        <w:rPr>
          <w:rFonts w:ascii="Arial" w:hAnsi="Arial" w:cs="Arial"/>
        </w:rPr>
        <w:t xml:space="preserve"> </w:t>
      </w:r>
      <w:r w:rsidR="00D17F2E" w:rsidRPr="00485241">
        <w:rPr>
          <w:rFonts w:ascii="Arial" w:hAnsi="Arial" w:cs="Arial"/>
        </w:rPr>
        <w:t>(19)</w:t>
      </w:r>
      <w:r w:rsidR="00257381" w:rsidRPr="00485241">
        <w:rPr>
          <w:rFonts w:ascii="Arial" w:hAnsi="Arial" w:cs="Arial"/>
        </w:rPr>
        <w:t>,</w:t>
      </w:r>
      <w:r w:rsidR="00BA707D" w:rsidRPr="00485241">
        <w:rPr>
          <w:rFonts w:ascii="Arial" w:hAnsi="Arial" w:cs="Arial"/>
        </w:rPr>
        <w:t xml:space="preserve"> </w:t>
      </w:r>
      <w:r w:rsidRPr="00485241">
        <w:rPr>
          <w:rFonts w:ascii="Arial" w:hAnsi="Arial" w:cs="Arial"/>
        </w:rPr>
        <w:t xml:space="preserve">and they can include </w:t>
      </w:r>
      <w:r w:rsidR="00D17F2E" w:rsidRPr="00485241">
        <w:rPr>
          <w:rFonts w:ascii="Arial" w:hAnsi="Arial" w:cs="Arial"/>
        </w:rPr>
        <w:t>nearly</w:t>
      </w:r>
      <w:r w:rsidRPr="00485241">
        <w:rPr>
          <w:rFonts w:ascii="Arial" w:hAnsi="Arial" w:cs="Arial"/>
        </w:rPr>
        <w:t xml:space="preserve"> any sort of investment vehicle such as stock, LLC </w:t>
      </w:r>
      <w:r w:rsidR="00D17F2E" w:rsidRPr="00485241">
        <w:rPr>
          <w:rFonts w:ascii="Arial" w:hAnsi="Arial" w:cs="Arial"/>
        </w:rPr>
        <w:t xml:space="preserve">membership </w:t>
      </w:r>
      <w:r w:rsidRPr="00485241">
        <w:rPr>
          <w:rFonts w:ascii="Arial" w:hAnsi="Arial" w:cs="Arial"/>
        </w:rPr>
        <w:t>interests, promissory notes</w:t>
      </w:r>
      <w:r w:rsidR="00D17F2E" w:rsidRPr="00485241">
        <w:rPr>
          <w:rFonts w:ascii="Arial" w:hAnsi="Arial" w:cs="Arial"/>
        </w:rPr>
        <w:t>,</w:t>
      </w:r>
      <w:r w:rsidRPr="00485241">
        <w:rPr>
          <w:rFonts w:ascii="Arial" w:hAnsi="Arial" w:cs="Arial"/>
        </w:rPr>
        <w:t xml:space="preserve"> and investment contracts</w:t>
      </w:r>
      <w:r w:rsidR="00BA707D" w:rsidRPr="00485241">
        <w:rPr>
          <w:rFonts w:ascii="Arial" w:hAnsi="Arial" w:cs="Arial"/>
        </w:rPr>
        <w:t>.</w:t>
      </w:r>
      <w:r w:rsidR="00D17F2E" w:rsidRPr="00485241">
        <w:rPr>
          <w:rFonts w:ascii="Arial" w:hAnsi="Arial" w:cs="Arial"/>
        </w:rPr>
        <w:t xml:space="preserve"> </w:t>
      </w:r>
      <w:r w:rsidR="00D17F2E" w:rsidRPr="00485241">
        <w:rPr>
          <w:rFonts w:ascii="Arial" w:hAnsi="Arial" w:cs="Arial"/>
          <w:i/>
          <w:iCs/>
        </w:rPr>
        <w:t xml:space="preserve">See, e.g., Lahn v. </w:t>
      </w:r>
      <w:proofErr w:type="spellStart"/>
      <w:r w:rsidR="00D17F2E" w:rsidRPr="00485241">
        <w:rPr>
          <w:rFonts w:ascii="Arial" w:hAnsi="Arial" w:cs="Arial"/>
          <w:i/>
          <w:iCs/>
        </w:rPr>
        <w:t>Vaisbort</w:t>
      </w:r>
      <w:proofErr w:type="spellEnd"/>
      <w:r w:rsidR="00D17F2E" w:rsidRPr="00485241">
        <w:rPr>
          <w:rFonts w:ascii="Arial" w:hAnsi="Arial" w:cs="Arial"/>
        </w:rPr>
        <w:t xml:space="preserve">, 276 Or. App. 468, 369 P.3d 85 (2016) (notes were securities). </w:t>
      </w:r>
      <w:r w:rsidRPr="00485241">
        <w:rPr>
          <w:rFonts w:ascii="Arial" w:hAnsi="Arial" w:cs="Arial"/>
        </w:rPr>
        <w:t xml:space="preserve"> An </w:t>
      </w:r>
      <w:r w:rsidR="00D17F2E" w:rsidRPr="00485241">
        <w:rPr>
          <w:rFonts w:ascii="Arial" w:hAnsi="Arial" w:cs="Arial"/>
        </w:rPr>
        <w:t>“</w:t>
      </w:r>
      <w:r w:rsidRPr="00485241">
        <w:rPr>
          <w:rFonts w:ascii="Arial" w:hAnsi="Arial" w:cs="Arial"/>
        </w:rPr>
        <w:t>investment contract</w:t>
      </w:r>
      <w:r w:rsidR="00D17F2E" w:rsidRPr="00485241">
        <w:rPr>
          <w:rFonts w:ascii="Arial" w:hAnsi="Arial" w:cs="Arial"/>
        </w:rPr>
        <w:t>”</w:t>
      </w:r>
      <w:r w:rsidRPr="00485241">
        <w:rPr>
          <w:rFonts w:ascii="Arial" w:hAnsi="Arial" w:cs="Arial"/>
        </w:rPr>
        <w:t xml:space="preserve"> </w:t>
      </w:r>
      <w:proofErr w:type="gramStart"/>
      <w:r w:rsidRPr="00485241">
        <w:rPr>
          <w:rFonts w:ascii="Arial" w:hAnsi="Arial" w:cs="Arial"/>
        </w:rPr>
        <w:t>is defined</w:t>
      </w:r>
      <w:proofErr w:type="gramEnd"/>
      <w:r w:rsidRPr="00485241">
        <w:rPr>
          <w:rFonts w:ascii="Arial" w:hAnsi="Arial" w:cs="Arial"/>
        </w:rPr>
        <w:t xml:space="preserve"> to include any investment</w:t>
      </w:r>
      <w:r w:rsidR="00D17F2E" w:rsidRPr="00485241">
        <w:rPr>
          <w:rFonts w:ascii="Arial" w:hAnsi="Arial" w:cs="Arial"/>
        </w:rPr>
        <w:t xml:space="preserve"> of money</w:t>
      </w:r>
      <w:r w:rsidRPr="00485241">
        <w:rPr>
          <w:rFonts w:ascii="Arial" w:hAnsi="Arial" w:cs="Arial"/>
        </w:rPr>
        <w:t xml:space="preserve"> in a common enterprise, for a profit, in which someone other than the investor is managing the business</w:t>
      </w:r>
      <w:r w:rsidR="00D17F2E" w:rsidRPr="00485241">
        <w:rPr>
          <w:rFonts w:ascii="Arial" w:hAnsi="Arial" w:cs="Arial"/>
        </w:rPr>
        <w:t xml:space="preserve"> (</w:t>
      </w:r>
      <w:r w:rsidRPr="00485241">
        <w:rPr>
          <w:rFonts w:ascii="Arial" w:hAnsi="Arial" w:cs="Arial"/>
        </w:rPr>
        <w:t>i.e.</w:t>
      </w:r>
      <w:r w:rsidR="00D17F2E" w:rsidRPr="00485241">
        <w:rPr>
          <w:rFonts w:ascii="Arial" w:hAnsi="Arial" w:cs="Arial"/>
        </w:rPr>
        <w:t>,</w:t>
      </w:r>
      <w:r w:rsidRPr="00485241">
        <w:rPr>
          <w:rFonts w:ascii="Arial" w:hAnsi="Arial" w:cs="Arial"/>
        </w:rPr>
        <w:t xml:space="preserve"> </w:t>
      </w:r>
      <w:r w:rsidR="00D17F2E" w:rsidRPr="00485241">
        <w:rPr>
          <w:rFonts w:ascii="Arial" w:hAnsi="Arial" w:cs="Arial"/>
        </w:rPr>
        <w:t xml:space="preserve">investments by </w:t>
      </w:r>
      <w:r w:rsidRPr="00485241">
        <w:rPr>
          <w:rFonts w:ascii="Arial" w:hAnsi="Arial" w:cs="Arial"/>
        </w:rPr>
        <w:t>passive investors</w:t>
      </w:r>
      <w:r w:rsidR="00D17F2E" w:rsidRPr="00485241">
        <w:rPr>
          <w:rFonts w:ascii="Arial" w:hAnsi="Arial" w:cs="Arial"/>
        </w:rPr>
        <w:t>)</w:t>
      </w:r>
      <w:r w:rsidRPr="00485241">
        <w:rPr>
          <w:rFonts w:ascii="Arial" w:hAnsi="Arial" w:cs="Arial"/>
        </w:rPr>
        <w:t xml:space="preserve">. </w:t>
      </w:r>
      <w:r w:rsidR="00D17F2E" w:rsidRPr="00485241">
        <w:rPr>
          <w:rFonts w:ascii="Arial" w:hAnsi="Arial" w:cs="Arial"/>
          <w:i/>
          <w:iCs/>
        </w:rPr>
        <w:t>Computer Concepts, Inc. v. Brandt</w:t>
      </w:r>
      <w:r w:rsidR="00D17F2E" w:rsidRPr="00485241">
        <w:rPr>
          <w:rFonts w:ascii="Arial" w:hAnsi="Arial" w:cs="Arial"/>
        </w:rPr>
        <w:t>, 310 Or. 706, 714–15, 801 P.2d 800 (1990).</w:t>
      </w:r>
    </w:p>
    <w:p w14:paraId="7E606578" w14:textId="77D084BC" w:rsidR="005E76C9" w:rsidRPr="00485241" w:rsidRDefault="00D17F2E"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I</w:t>
      </w:r>
      <w:r w:rsidR="005E76C9" w:rsidRPr="00485241">
        <w:rPr>
          <w:rFonts w:ascii="Arial" w:hAnsi="Arial" w:cs="Arial"/>
          <w:b/>
          <w:bCs/>
        </w:rPr>
        <w:t xml:space="preserve">s my client </w:t>
      </w:r>
      <w:r w:rsidRPr="00485241">
        <w:rPr>
          <w:rFonts w:ascii="Arial" w:hAnsi="Arial" w:cs="Arial"/>
          <w:b/>
          <w:bCs/>
        </w:rPr>
        <w:t>acting as a seller of securities or promoting the sale of securities</w:t>
      </w:r>
      <w:r w:rsidR="005E76C9" w:rsidRPr="00485241">
        <w:rPr>
          <w:rFonts w:ascii="Arial" w:hAnsi="Arial" w:cs="Arial"/>
          <w:b/>
          <w:bCs/>
        </w:rPr>
        <w:t>?</w:t>
      </w:r>
    </w:p>
    <w:p w14:paraId="25077851" w14:textId="22A84432" w:rsidR="00D17F2E" w:rsidRPr="00485241" w:rsidRDefault="00D17F2E" w:rsidP="0067027C">
      <w:pPr>
        <w:spacing w:line="240" w:lineRule="auto"/>
        <w:ind w:firstLine="720"/>
        <w:rPr>
          <w:rFonts w:ascii="Arial" w:hAnsi="Arial" w:cs="Arial"/>
        </w:rPr>
      </w:pPr>
      <w:r w:rsidRPr="00485241">
        <w:rPr>
          <w:rFonts w:ascii="Arial" w:hAnsi="Arial" w:cs="Arial"/>
        </w:rPr>
        <w:t xml:space="preserve">A sale of securities includes any </w:t>
      </w:r>
      <w:r w:rsidR="00257381" w:rsidRPr="00485241">
        <w:rPr>
          <w:rFonts w:ascii="Arial" w:hAnsi="Arial" w:cs="Arial"/>
        </w:rPr>
        <w:t xml:space="preserve">contract to sell or nearly any other disposition of a security for value. ORS 59.015 (17)(a).  Acting as a seller or </w:t>
      </w:r>
      <w:proofErr w:type="gramStart"/>
      <w:r w:rsidR="00257381" w:rsidRPr="00485241">
        <w:rPr>
          <w:rFonts w:ascii="Arial" w:hAnsi="Arial" w:cs="Arial"/>
        </w:rPr>
        <w:t>soliciting</w:t>
      </w:r>
      <w:proofErr w:type="gramEnd"/>
      <w:r w:rsidR="00257381" w:rsidRPr="00485241">
        <w:rPr>
          <w:rFonts w:ascii="Arial" w:hAnsi="Arial" w:cs="Arial"/>
        </w:rPr>
        <w:t xml:space="preserve"> the sale of securities can make the issuer or promoter liable</w:t>
      </w:r>
      <w:r w:rsidR="004F6F02" w:rsidRPr="00485241">
        <w:rPr>
          <w:rFonts w:ascii="Arial" w:hAnsi="Arial" w:cs="Arial"/>
        </w:rPr>
        <w:t xml:space="preserve"> for an </w:t>
      </w:r>
      <w:r w:rsidR="00E8781B" w:rsidRPr="00485241">
        <w:rPr>
          <w:rFonts w:ascii="Arial" w:hAnsi="Arial" w:cs="Arial"/>
        </w:rPr>
        <w:t>unlawful sale of securities</w:t>
      </w:r>
      <w:r w:rsidR="004F6F02" w:rsidRPr="00485241">
        <w:rPr>
          <w:rFonts w:ascii="Arial" w:hAnsi="Arial" w:cs="Arial"/>
        </w:rPr>
        <w:t>. ORS 59.115(1)</w:t>
      </w:r>
      <w:r w:rsidR="00690A38" w:rsidRPr="00485241">
        <w:rPr>
          <w:rFonts w:ascii="Arial" w:hAnsi="Arial" w:cs="Arial"/>
        </w:rPr>
        <w:t xml:space="preserve">.  If the company issuing securities or </w:t>
      </w:r>
      <w:proofErr w:type="gramStart"/>
      <w:r w:rsidR="00690A38" w:rsidRPr="00485241">
        <w:rPr>
          <w:rFonts w:ascii="Arial" w:hAnsi="Arial" w:cs="Arial"/>
        </w:rPr>
        <w:t>seeking</w:t>
      </w:r>
      <w:proofErr w:type="gramEnd"/>
      <w:r w:rsidR="00690A38" w:rsidRPr="00485241">
        <w:rPr>
          <w:rFonts w:ascii="Arial" w:hAnsi="Arial" w:cs="Arial"/>
        </w:rPr>
        <w:t xml:space="preserve"> to raise capital is your client—even in a small deal—you must take extra precautions if the Oregon Securities Law might apply.  Attorneys who prepare securities-related documents can be liable for </w:t>
      </w:r>
      <w:proofErr w:type="gramStart"/>
      <w:r w:rsidR="00690A38" w:rsidRPr="00485241">
        <w:rPr>
          <w:rFonts w:ascii="Arial" w:hAnsi="Arial" w:cs="Arial"/>
        </w:rPr>
        <w:t>participating</w:t>
      </w:r>
      <w:proofErr w:type="gramEnd"/>
      <w:r w:rsidR="00690A38" w:rsidRPr="00485241">
        <w:rPr>
          <w:rFonts w:ascii="Arial" w:hAnsi="Arial" w:cs="Arial"/>
        </w:rPr>
        <w:t xml:space="preserve"> or material aiding in an unlawful sale of securities, even if the attorney was unaware of the facts that made the sale unlawful.  ORS 59.115(3); </w:t>
      </w:r>
      <w:r w:rsidR="0067027C" w:rsidRPr="00485241">
        <w:rPr>
          <w:rFonts w:ascii="Arial" w:hAnsi="Arial" w:cs="Arial"/>
          <w:i/>
          <w:iCs/>
        </w:rPr>
        <w:t>Prince v. Brydon</w:t>
      </w:r>
      <w:r w:rsidR="0067027C" w:rsidRPr="00485241">
        <w:rPr>
          <w:rFonts w:ascii="Arial" w:hAnsi="Arial" w:cs="Arial"/>
        </w:rPr>
        <w:t>, 307 Or. 146, 149, 764 P.2d 1370 (1988)</w:t>
      </w:r>
      <w:r w:rsidR="00E8781B">
        <w:rPr>
          <w:rFonts w:ascii="Arial" w:hAnsi="Arial" w:cs="Arial"/>
        </w:rPr>
        <w:t>.</w:t>
      </w:r>
    </w:p>
    <w:p w14:paraId="7D05E0C4" w14:textId="77777777" w:rsidR="00624E40" w:rsidRPr="00485241" w:rsidRDefault="00624E40"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 xml:space="preserve">Can my client </w:t>
      </w:r>
      <w:proofErr w:type="gramStart"/>
      <w:r w:rsidRPr="00485241">
        <w:rPr>
          <w:rFonts w:ascii="Arial" w:hAnsi="Arial" w:cs="Arial"/>
          <w:b/>
          <w:bCs/>
        </w:rPr>
        <w:t>be trusted</w:t>
      </w:r>
      <w:proofErr w:type="gramEnd"/>
      <w:r w:rsidRPr="00485241">
        <w:rPr>
          <w:rFonts w:ascii="Arial" w:hAnsi="Arial" w:cs="Arial"/>
          <w:b/>
          <w:bCs/>
        </w:rPr>
        <w:t xml:space="preserve"> to give complete and </w:t>
      </w:r>
      <w:proofErr w:type="gramStart"/>
      <w:r w:rsidRPr="00485241">
        <w:rPr>
          <w:rFonts w:ascii="Arial" w:hAnsi="Arial" w:cs="Arial"/>
          <w:b/>
          <w:bCs/>
        </w:rPr>
        <w:t>accurate</w:t>
      </w:r>
      <w:proofErr w:type="gramEnd"/>
      <w:r w:rsidRPr="00485241">
        <w:rPr>
          <w:rFonts w:ascii="Arial" w:hAnsi="Arial" w:cs="Arial"/>
          <w:b/>
          <w:bCs/>
        </w:rPr>
        <w:t xml:space="preserve"> information to potential investors?</w:t>
      </w:r>
    </w:p>
    <w:p w14:paraId="6D3792C5" w14:textId="60255D09" w:rsidR="00257381" w:rsidRPr="00485241" w:rsidRDefault="004F6F02" w:rsidP="004F6F02">
      <w:pPr>
        <w:spacing w:line="240" w:lineRule="auto"/>
        <w:ind w:firstLine="720"/>
        <w:rPr>
          <w:rFonts w:ascii="Arial" w:hAnsi="Arial" w:cs="Arial"/>
          <w:b/>
          <w:bCs/>
        </w:rPr>
      </w:pPr>
      <w:r w:rsidRPr="00485241">
        <w:rPr>
          <w:rFonts w:ascii="Arial" w:hAnsi="Arial" w:cs="Arial"/>
        </w:rPr>
        <w:t xml:space="preserve">If an issuer or promoter sold securities </w:t>
      </w:r>
      <w:proofErr w:type="gramStart"/>
      <w:r w:rsidRPr="00485241">
        <w:rPr>
          <w:rFonts w:ascii="Arial" w:hAnsi="Arial" w:cs="Arial"/>
        </w:rPr>
        <w:t>by means of</w:t>
      </w:r>
      <w:proofErr w:type="gramEnd"/>
      <w:r w:rsidRPr="00485241">
        <w:rPr>
          <w:rFonts w:ascii="Arial" w:hAnsi="Arial" w:cs="Arial"/>
        </w:rPr>
        <w:t xml:space="preserve"> untrue statements of material fact, misleading omissions (half-truths), deceit, </w:t>
      </w:r>
      <w:proofErr w:type="gramStart"/>
      <w:r w:rsidRPr="00485241">
        <w:rPr>
          <w:rFonts w:ascii="Arial" w:hAnsi="Arial" w:cs="Arial"/>
        </w:rPr>
        <w:t>fraud</w:t>
      </w:r>
      <w:proofErr w:type="gramEnd"/>
      <w:r w:rsidRPr="00485241">
        <w:rPr>
          <w:rFonts w:ascii="Arial" w:hAnsi="Arial" w:cs="Arial"/>
        </w:rPr>
        <w:t xml:space="preserve"> or other violations of the Oregon </w:t>
      </w:r>
      <w:r w:rsidR="006C2E8B">
        <w:rPr>
          <w:rFonts w:ascii="Arial" w:hAnsi="Arial" w:cs="Arial"/>
        </w:rPr>
        <w:t>S</w:t>
      </w:r>
      <w:r w:rsidRPr="00485241">
        <w:rPr>
          <w:rFonts w:ascii="Arial" w:hAnsi="Arial" w:cs="Arial"/>
        </w:rPr>
        <w:t xml:space="preserve">ecurities </w:t>
      </w:r>
      <w:r w:rsidR="006C2E8B">
        <w:rPr>
          <w:rFonts w:ascii="Arial" w:hAnsi="Arial" w:cs="Arial"/>
        </w:rPr>
        <w:t>L</w:t>
      </w:r>
      <w:r w:rsidRPr="00485241">
        <w:rPr>
          <w:rFonts w:ascii="Arial" w:hAnsi="Arial" w:cs="Arial"/>
        </w:rPr>
        <w:t xml:space="preserve">aw, then that person may be liable to the purchaser (investor) for the amount invested.  ORS 59.115 (1) and (2).  Also, any person who controlled the seller or who was an officer, director, or manager of the seller is also liable to the same extent as the seller. ORS 59.115 (3).  </w:t>
      </w:r>
      <w:r w:rsidR="0067027C" w:rsidRPr="00485241">
        <w:rPr>
          <w:rFonts w:ascii="Arial" w:hAnsi="Arial" w:cs="Arial"/>
        </w:rPr>
        <w:t>And it’s worth repeating that</w:t>
      </w:r>
      <w:r w:rsidRPr="00485241">
        <w:rPr>
          <w:rFonts w:ascii="Arial" w:hAnsi="Arial" w:cs="Arial"/>
        </w:rPr>
        <w:t xml:space="preserve"> any person who </w:t>
      </w:r>
      <w:proofErr w:type="gramStart"/>
      <w:r w:rsidRPr="00485241">
        <w:rPr>
          <w:rFonts w:ascii="Arial" w:hAnsi="Arial" w:cs="Arial"/>
        </w:rPr>
        <w:t>participated</w:t>
      </w:r>
      <w:proofErr w:type="gramEnd"/>
      <w:r w:rsidRPr="00485241">
        <w:rPr>
          <w:rFonts w:ascii="Arial" w:hAnsi="Arial" w:cs="Arial"/>
        </w:rPr>
        <w:t xml:space="preserve"> or materially aided </w:t>
      </w:r>
      <w:r w:rsidR="00823CCC">
        <w:rPr>
          <w:rFonts w:ascii="Arial" w:hAnsi="Arial" w:cs="Arial"/>
        </w:rPr>
        <w:t xml:space="preserve">in </w:t>
      </w:r>
      <w:r w:rsidRPr="00485241">
        <w:rPr>
          <w:rFonts w:ascii="Arial" w:hAnsi="Arial" w:cs="Arial"/>
        </w:rPr>
        <w:t xml:space="preserve">the sale of securities is </w:t>
      </w:r>
      <w:proofErr w:type="gramStart"/>
      <w:r w:rsidRPr="00485241">
        <w:rPr>
          <w:rFonts w:ascii="Arial" w:hAnsi="Arial" w:cs="Arial"/>
        </w:rPr>
        <w:t>liable—including</w:t>
      </w:r>
      <w:proofErr w:type="gramEnd"/>
      <w:r w:rsidRPr="00485241">
        <w:rPr>
          <w:rFonts w:ascii="Arial" w:hAnsi="Arial" w:cs="Arial"/>
        </w:rPr>
        <w:t xml:space="preserve"> the attorney who prepared the securities offering documents or filings. ORS 59.115(3); </w:t>
      </w:r>
      <w:r w:rsidRPr="00485241">
        <w:rPr>
          <w:rFonts w:ascii="Arial" w:hAnsi="Arial" w:cs="Arial"/>
          <w:i/>
          <w:iCs/>
        </w:rPr>
        <w:t>Prince v. Brydon</w:t>
      </w:r>
      <w:r w:rsidRPr="00485241">
        <w:rPr>
          <w:rFonts w:ascii="Arial" w:hAnsi="Arial" w:cs="Arial"/>
        </w:rPr>
        <w:t>, 307 Or</w:t>
      </w:r>
      <w:r w:rsidR="0067027C" w:rsidRPr="00485241">
        <w:rPr>
          <w:rFonts w:ascii="Arial" w:hAnsi="Arial" w:cs="Arial"/>
        </w:rPr>
        <w:t>. at</w:t>
      </w:r>
      <w:r w:rsidRPr="00485241">
        <w:rPr>
          <w:rFonts w:ascii="Arial" w:hAnsi="Arial" w:cs="Arial"/>
        </w:rPr>
        <w:t xml:space="preserve"> 149, 764 P.2d 1370 (1988).</w:t>
      </w:r>
      <w:r w:rsidR="00AB56CD" w:rsidRPr="00485241">
        <w:rPr>
          <w:rFonts w:ascii="Arial" w:hAnsi="Arial" w:cs="Arial"/>
        </w:rPr>
        <w:t xml:space="preserve">  Clients receiving investor funds should willingly be transparent with investors</w:t>
      </w:r>
      <w:r w:rsidR="002D0FAA" w:rsidRPr="00485241">
        <w:rPr>
          <w:rFonts w:ascii="Arial" w:hAnsi="Arial" w:cs="Arial"/>
        </w:rPr>
        <w:t xml:space="preserve"> about risks</w:t>
      </w:r>
      <w:r w:rsidR="00AB56CD" w:rsidRPr="00485241">
        <w:rPr>
          <w:rFonts w:ascii="Arial" w:hAnsi="Arial" w:cs="Arial"/>
        </w:rPr>
        <w:t xml:space="preserve">, have financial controls in place, and have </w:t>
      </w:r>
      <w:r w:rsidR="00CA1911" w:rsidRPr="00485241">
        <w:rPr>
          <w:rFonts w:ascii="Arial" w:hAnsi="Arial" w:cs="Arial"/>
        </w:rPr>
        <w:t xml:space="preserve">solid business plans. </w:t>
      </w:r>
    </w:p>
    <w:p w14:paraId="658CC46C" w14:textId="0A74D660" w:rsidR="00624E40" w:rsidRPr="00485241" w:rsidRDefault="00624E40"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 xml:space="preserve">Can I prove that I conducted due diligence on </w:t>
      </w:r>
      <w:r w:rsidR="00823CCC">
        <w:rPr>
          <w:rFonts w:ascii="Arial" w:hAnsi="Arial" w:cs="Arial"/>
          <w:b/>
          <w:bCs/>
        </w:rPr>
        <w:t xml:space="preserve">behalf of </w:t>
      </w:r>
      <w:r w:rsidRPr="00485241">
        <w:rPr>
          <w:rFonts w:ascii="Arial" w:hAnsi="Arial" w:cs="Arial"/>
          <w:b/>
          <w:bCs/>
        </w:rPr>
        <w:t>my client?</w:t>
      </w:r>
    </w:p>
    <w:p w14:paraId="3B06C49B" w14:textId="1A123192" w:rsidR="004F6F02" w:rsidRPr="00485241" w:rsidRDefault="004F6F02" w:rsidP="004F6F02">
      <w:pPr>
        <w:spacing w:line="240" w:lineRule="auto"/>
        <w:ind w:firstLine="720"/>
        <w:rPr>
          <w:rFonts w:ascii="Arial" w:hAnsi="Arial" w:cs="Arial"/>
        </w:rPr>
      </w:pPr>
      <w:r w:rsidRPr="00485241">
        <w:rPr>
          <w:rFonts w:ascii="Arial" w:hAnsi="Arial" w:cs="Arial"/>
        </w:rPr>
        <w:t xml:space="preserve">A </w:t>
      </w:r>
      <w:r w:rsidR="00992FD9" w:rsidRPr="00485241">
        <w:rPr>
          <w:rFonts w:ascii="Arial" w:hAnsi="Arial" w:cs="Arial"/>
        </w:rPr>
        <w:t>“</w:t>
      </w:r>
      <w:proofErr w:type="spellStart"/>
      <w:r w:rsidR="00992FD9" w:rsidRPr="00485241">
        <w:rPr>
          <w:rFonts w:ascii="Arial" w:hAnsi="Arial" w:cs="Arial"/>
        </w:rPr>
        <w:t>nonseller</w:t>
      </w:r>
      <w:proofErr w:type="spellEnd"/>
      <w:r w:rsidR="00992FD9" w:rsidRPr="00485241">
        <w:rPr>
          <w:rFonts w:ascii="Arial" w:hAnsi="Arial" w:cs="Arial"/>
        </w:rPr>
        <w:t xml:space="preserve">” </w:t>
      </w:r>
      <w:r w:rsidRPr="00485241">
        <w:rPr>
          <w:rFonts w:ascii="Arial" w:hAnsi="Arial" w:cs="Arial"/>
        </w:rPr>
        <w:t xml:space="preserve">person who </w:t>
      </w:r>
      <w:r w:rsidR="00992FD9" w:rsidRPr="00485241">
        <w:rPr>
          <w:rFonts w:ascii="Arial" w:hAnsi="Arial" w:cs="Arial"/>
        </w:rPr>
        <w:t xml:space="preserve">would otherwise be </w:t>
      </w:r>
      <w:r w:rsidRPr="00485241">
        <w:rPr>
          <w:rFonts w:ascii="Arial" w:hAnsi="Arial" w:cs="Arial"/>
        </w:rPr>
        <w:t xml:space="preserve">liable can avoid liability if they can </w:t>
      </w:r>
      <w:proofErr w:type="gramStart"/>
      <w:r w:rsidRPr="00485241">
        <w:rPr>
          <w:rFonts w:ascii="Arial" w:hAnsi="Arial" w:cs="Arial"/>
        </w:rPr>
        <w:t>establish</w:t>
      </w:r>
      <w:proofErr w:type="gramEnd"/>
      <w:r w:rsidRPr="00485241">
        <w:rPr>
          <w:rFonts w:ascii="Arial" w:hAnsi="Arial" w:cs="Arial"/>
        </w:rPr>
        <w:t xml:space="preserve"> the “due diligence” affirmative defense that </w:t>
      </w:r>
      <w:r w:rsidR="00992FD9" w:rsidRPr="00485241">
        <w:rPr>
          <w:rFonts w:ascii="Arial" w:hAnsi="Arial" w:cs="Arial"/>
        </w:rPr>
        <w:t xml:space="preserve">the </w:t>
      </w:r>
      <w:proofErr w:type="spellStart"/>
      <w:r w:rsidR="00992FD9" w:rsidRPr="00485241">
        <w:rPr>
          <w:rFonts w:ascii="Arial" w:hAnsi="Arial" w:cs="Arial"/>
        </w:rPr>
        <w:t>nonseller</w:t>
      </w:r>
      <w:proofErr w:type="spellEnd"/>
      <w:r w:rsidRPr="00485241">
        <w:rPr>
          <w:rFonts w:ascii="Arial" w:hAnsi="Arial" w:cs="Arial"/>
        </w:rPr>
        <w:t xml:space="preserve"> did not know</w:t>
      </w:r>
      <w:r w:rsidR="00992FD9" w:rsidRPr="00485241">
        <w:rPr>
          <w:rFonts w:ascii="Arial" w:hAnsi="Arial" w:cs="Arial"/>
        </w:rPr>
        <w:t>,</w:t>
      </w:r>
      <w:r w:rsidRPr="00485241">
        <w:rPr>
          <w:rFonts w:ascii="Arial" w:hAnsi="Arial" w:cs="Arial"/>
        </w:rPr>
        <w:t xml:space="preserve"> and </w:t>
      </w:r>
      <w:r w:rsidR="00992FD9" w:rsidRPr="00485241">
        <w:rPr>
          <w:rFonts w:ascii="Arial" w:hAnsi="Arial" w:cs="Arial"/>
        </w:rPr>
        <w:t xml:space="preserve">in the exercise of reasonable care </w:t>
      </w:r>
      <w:r w:rsidRPr="00485241">
        <w:rPr>
          <w:rFonts w:ascii="Arial" w:hAnsi="Arial" w:cs="Arial"/>
        </w:rPr>
        <w:t>could not have known about the facts giving rise to securities liability</w:t>
      </w:r>
      <w:r w:rsidR="00992FD9" w:rsidRPr="00485241">
        <w:rPr>
          <w:rFonts w:ascii="Arial" w:hAnsi="Arial" w:cs="Arial"/>
        </w:rPr>
        <w:t xml:space="preserve">. ORS 59.115(3).  The attorney for </w:t>
      </w:r>
      <w:r w:rsidR="0067027C" w:rsidRPr="00485241">
        <w:rPr>
          <w:rFonts w:ascii="Arial" w:hAnsi="Arial" w:cs="Arial"/>
        </w:rPr>
        <w:t>an issuer</w:t>
      </w:r>
      <w:r w:rsidR="00992FD9" w:rsidRPr="00485241">
        <w:rPr>
          <w:rFonts w:ascii="Arial" w:hAnsi="Arial" w:cs="Arial"/>
        </w:rPr>
        <w:t xml:space="preserve"> or promoter should document that the attorney made a due diligence inquiry into that person’s client and others involved in the capital raise or securities offering.  This might include conducting background checks of the client or client’s key personnel on financial industry databases such as FINRA </w:t>
      </w:r>
      <w:proofErr w:type="spellStart"/>
      <w:r w:rsidR="00992FD9" w:rsidRPr="00485241">
        <w:rPr>
          <w:rFonts w:ascii="Arial" w:hAnsi="Arial" w:cs="Arial"/>
        </w:rPr>
        <w:t>brokercheck</w:t>
      </w:r>
      <w:proofErr w:type="spellEnd"/>
      <w:r w:rsidR="00992FD9" w:rsidRPr="00485241">
        <w:rPr>
          <w:rFonts w:ascii="Arial" w:hAnsi="Arial" w:cs="Arial"/>
        </w:rPr>
        <w:t xml:space="preserve"> (</w:t>
      </w:r>
      <w:hyperlink r:id="rId7" w:history="1">
        <w:r w:rsidR="00992FD9" w:rsidRPr="00485241">
          <w:rPr>
            <w:rStyle w:val="Hyperlink"/>
            <w:rFonts w:ascii="Arial" w:hAnsi="Arial" w:cs="Arial"/>
          </w:rPr>
          <w:t>https://brokercheck.finra.org/</w:t>
        </w:r>
      </w:hyperlink>
      <w:r w:rsidR="00992FD9" w:rsidRPr="00485241">
        <w:rPr>
          <w:rFonts w:ascii="Arial" w:hAnsi="Arial" w:cs="Arial"/>
        </w:rPr>
        <w:t xml:space="preserve">) and verifying the accuracy and completeness of all statements made in </w:t>
      </w:r>
      <w:r w:rsidR="00160A92">
        <w:rPr>
          <w:rFonts w:ascii="Arial" w:hAnsi="Arial" w:cs="Arial"/>
        </w:rPr>
        <w:t>Private Placement Memorandums (</w:t>
      </w:r>
      <w:r w:rsidR="00992FD9" w:rsidRPr="00485241">
        <w:rPr>
          <w:rFonts w:ascii="Arial" w:hAnsi="Arial" w:cs="Arial"/>
        </w:rPr>
        <w:t>PPMs</w:t>
      </w:r>
      <w:r w:rsidR="00160A92">
        <w:rPr>
          <w:rFonts w:ascii="Arial" w:hAnsi="Arial" w:cs="Arial"/>
        </w:rPr>
        <w:t>)</w:t>
      </w:r>
      <w:r w:rsidR="00992FD9" w:rsidRPr="00485241">
        <w:rPr>
          <w:rFonts w:ascii="Arial" w:hAnsi="Arial" w:cs="Arial"/>
        </w:rPr>
        <w:t xml:space="preserve">, offering documents, and </w:t>
      </w:r>
      <w:r w:rsidR="00982B03" w:rsidRPr="00485241">
        <w:rPr>
          <w:rFonts w:ascii="Arial" w:hAnsi="Arial" w:cs="Arial"/>
        </w:rPr>
        <w:t xml:space="preserve">promotional materials. </w:t>
      </w:r>
      <w:r w:rsidR="00992FD9" w:rsidRPr="00485241">
        <w:rPr>
          <w:rFonts w:ascii="Arial" w:hAnsi="Arial" w:cs="Arial"/>
        </w:rPr>
        <w:t xml:space="preserve"> </w:t>
      </w:r>
      <w:r w:rsidR="002D0FAA" w:rsidRPr="00485241">
        <w:rPr>
          <w:rFonts w:ascii="Arial" w:hAnsi="Arial" w:cs="Arial"/>
        </w:rPr>
        <w:t>See below for more details</w:t>
      </w:r>
      <w:r w:rsidR="0067027C" w:rsidRPr="00485241">
        <w:rPr>
          <w:rFonts w:ascii="Arial" w:hAnsi="Arial" w:cs="Arial"/>
        </w:rPr>
        <w:t>.</w:t>
      </w:r>
    </w:p>
    <w:p w14:paraId="65DADB4C" w14:textId="75C30DEF" w:rsidR="00A66380" w:rsidRPr="00485241" w:rsidRDefault="000139CD"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 xml:space="preserve">Does this business </w:t>
      </w:r>
      <w:r w:rsidR="005C3658" w:rsidRPr="00485241">
        <w:rPr>
          <w:rFonts w:ascii="Arial" w:hAnsi="Arial" w:cs="Arial"/>
          <w:b/>
          <w:bCs/>
        </w:rPr>
        <w:t>venture</w:t>
      </w:r>
      <w:r w:rsidRPr="00485241">
        <w:rPr>
          <w:rFonts w:ascii="Arial" w:hAnsi="Arial" w:cs="Arial"/>
          <w:b/>
          <w:bCs/>
        </w:rPr>
        <w:t xml:space="preserve"> </w:t>
      </w:r>
      <w:r w:rsidR="00A66380" w:rsidRPr="00485241">
        <w:rPr>
          <w:rFonts w:ascii="Arial" w:hAnsi="Arial" w:cs="Arial"/>
          <w:b/>
          <w:bCs/>
        </w:rPr>
        <w:t xml:space="preserve">or transaction </w:t>
      </w:r>
      <w:r w:rsidRPr="00485241">
        <w:rPr>
          <w:rFonts w:ascii="Arial" w:hAnsi="Arial" w:cs="Arial"/>
          <w:b/>
          <w:bCs/>
        </w:rPr>
        <w:t>seem realistic or plausible?</w:t>
      </w:r>
    </w:p>
    <w:p w14:paraId="664A9048" w14:textId="6AFF3DC6" w:rsidR="00A66380" w:rsidRPr="00485241" w:rsidRDefault="00A66380" w:rsidP="00AB56CD">
      <w:pPr>
        <w:spacing w:line="240" w:lineRule="auto"/>
        <w:ind w:firstLine="720"/>
        <w:rPr>
          <w:rFonts w:ascii="Arial" w:hAnsi="Arial" w:cs="Arial"/>
        </w:rPr>
      </w:pPr>
      <w:r w:rsidRPr="00485241">
        <w:rPr>
          <w:rFonts w:ascii="Arial" w:hAnsi="Arial" w:cs="Arial"/>
        </w:rPr>
        <w:t xml:space="preserve">Investment opportunities that promise high rates of return </w:t>
      </w:r>
      <w:r w:rsidR="003A5F8C" w:rsidRPr="00485241">
        <w:rPr>
          <w:rFonts w:ascii="Arial" w:hAnsi="Arial" w:cs="Arial"/>
        </w:rPr>
        <w:t xml:space="preserve">also </w:t>
      </w:r>
      <w:r w:rsidRPr="00485241">
        <w:rPr>
          <w:rFonts w:ascii="Arial" w:hAnsi="Arial" w:cs="Arial"/>
        </w:rPr>
        <w:t xml:space="preserve">carry high risks, and startup businesses fail at alarming rates.  </w:t>
      </w:r>
      <w:r w:rsidR="00AB56CD" w:rsidRPr="00485241">
        <w:rPr>
          <w:rFonts w:ascii="Arial" w:hAnsi="Arial" w:cs="Arial"/>
        </w:rPr>
        <w:t>An</w:t>
      </w:r>
      <w:r w:rsidRPr="00485241">
        <w:rPr>
          <w:rFonts w:ascii="Arial" w:hAnsi="Arial" w:cs="Arial"/>
        </w:rPr>
        <w:t xml:space="preserve"> attorney should </w:t>
      </w:r>
      <w:r w:rsidR="00CA1911" w:rsidRPr="00485241">
        <w:rPr>
          <w:rFonts w:ascii="Arial" w:hAnsi="Arial" w:cs="Arial"/>
        </w:rPr>
        <w:t>understand</w:t>
      </w:r>
      <w:r w:rsidRPr="00485241">
        <w:rPr>
          <w:rFonts w:ascii="Arial" w:hAnsi="Arial" w:cs="Arial"/>
        </w:rPr>
        <w:t xml:space="preserve"> </w:t>
      </w:r>
      <w:r w:rsidR="00CA1911" w:rsidRPr="00485241">
        <w:rPr>
          <w:rFonts w:ascii="Arial" w:hAnsi="Arial" w:cs="Arial"/>
        </w:rPr>
        <w:t>these</w:t>
      </w:r>
      <w:r w:rsidRPr="00485241">
        <w:rPr>
          <w:rFonts w:ascii="Arial" w:hAnsi="Arial" w:cs="Arial"/>
        </w:rPr>
        <w:t xml:space="preserve"> </w:t>
      </w:r>
      <w:r w:rsidR="00AB56CD" w:rsidRPr="00485241">
        <w:rPr>
          <w:rFonts w:ascii="Arial" w:hAnsi="Arial" w:cs="Arial"/>
        </w:rPr>
        <w:t xml:space="preserve">sobering </w:t>
      </w:r>
      <w:r w:rsidRPr="00485241">
        <w:rPr>
          <w:rFonts w:ascii="Arial" w:hAnsi="Arial" w:cs="Arial"/>
        </w:rPr>
        <w:t xml:space="preserve">economic realities </w:t>
      </w:r>
      <w:r w:rsidR="00AB56CD" w:rsidRPr="00485241">
        <w:rPr>
          <w:rFonts w:ascii="Arial" w:hAnsi="Arial" w:cs="Arial"/>
        </w:rPr>
        <w:t xml:space="preserve">when choosing to </w:t>
      </w:r>
      <w:proofErr w:type="gramStart"/>
      <w:r w:rsidR="00AB56CD" w:rsidRPr="00485241">
        <w:rPr>
          <w:rFonts w:ascii="Arial" w:hAnsi="Arial" w:cs="Arial"/>
        </w:rPr>
        <w:t>represent</w:t>
      </w:r>
      <w:proofErr w:type="gramEnd"/>
      <w:r w:rsidR="00AB56CD" w:rsidRPr="00485241">
        <w:rPr>
          <w:rFonts w:ascii="Arial" w:hAnsi="Arial" w:cs="Arial"/>
        </w:rPr>
        <w:t xml:space="preserve"> a startup or business raising funds from </w:t>
      </w:r>
      <w:r w:rsidR="00AB56CD" w:rsidRPr="00485241">
        <w:rPr>
          <w:rFonts w:ascii="Arial" w:hAnsi="Arial" w:cs="Arial"/>
        </w:rPr>
        <w:lastRenderedPageBreak/>
        <w:t xml:space="preserve">investors. </w:t>
      </w:r>
      <w:r w:rsidR="002D0FAA" w:rsidRPr="00485241">
        <w:rPr>
          <w:rFonts w:ascii="Arial" w:hAnsi="Arial" w:cs="Arial"/>
        </w:rPr>
        <w:t xml:space="preserve"> </w:t>
      </w:r>
      <w:r w:rsidR="00AB56CD" w:rsidRPr="00485241">
        <w:rPr>
          <w:rFonts w:ascii="Arial" w:hAnsi="Arial" w:cs="Arial"/>
        </w:rPr>
        <w:t xml:space="preserve">The attorney </w:t>
      </w:r>
      <w:r w:rsidR="00C24706">
        <w:rPr>
          <w:rFonts w:ascii="Arial" w:hAnsi="Arial" w:cs="Arial"/>
        </w:rPr>
        <w:t xml:space="preserve">should </w:t>
      </w:r>
      <w:r w:rsidR="00AB56CD" w:rsidRPr="00485241">
        <w:rPr>
          <w:rFonts w:ascii="Arial" w:hAnsi="Arial" w:cs="Arial"/>
        </w:rPr>
        <w:t>beware of startups or</w:t>
      </w:r>
      <w:r w:rsidR="002D0FAA" w:rsidRPr="00485241">
        <w:rPr>
          <w:rFonts w:ascii="Arial" w:hAnsi="Arial" w:cs="Arial"/>
        </w:rPr>
        <w:t xml:space="preserve"> investment</w:t>
      </w:r>
      <w:r w:rsidR="00AB56CD" w:rsidRPr="00485241">
        <w:rPr>
          <w:rFonts w:ascii="Arial" w:hAnsi="Arial" w:cs="Arial"/>
        </w:rPr>
        <w:t xml:space="preserve"> </w:t>
      </w:r>
      <w:r w:rsidR="00CA1911" w:rsidRPr="00485241">
        <w:rPr>
          <w:rFonts w:ascii="Arial" w:hAnsi="Arial" w:cs="Arial"/>
        </w:rPr>
        <w:t>transaction</w:t>
      </w:r>
      <w:r w:rsidR="002D0FAA" w:rsidRPr="00485241">
        <w:rPr>
          <w:rFonts w:ascii="Arial" w:hAnsi="Arial" w:cs="Arial"/>
        </w:rPr>
        <w:t>s</w:t>
      </w:r>
      <w:r w:rsidR="00AB56CD" w:rsidRPr="00485241">
        <w:rPr>
          <w:rFonts w:ascii="Arial" w:hAnsi="Arial" w:cs="Arial"/>
        </w:rPr>
        <w:t xml:space="preserve"> that seem too good to be true</w:t>
      </w:r>
      <w:r w:rsidR="00CA1911" w:rsidRPr="00485241">
        <w:rPr>
          <w:rFonts w:ascii="Arial" w:hAnsi="Arial" w:cs="Arial"/>
        </w:rPr>
        <w:t xml:space="preserve">, </w:t>
      </w:r>
      <w:r w:rsidR="00AB56CD" w:rsidRPr="00485241">
        <w:rPr>
          <w:rFonts w:ascii="Arial" w:hAnsi="Arial" w:cs="Arial"/>
        </w:rPr>
        <w:t xml:space="preserve">depend heavily on market conditions, or </w:t>
      </w:r>
      <w:r w:rsidR="00CA1911" w:rsidRPr="00485241">
        <w:rPr>
          <w:rFonts w:ascii="Arial" w:hAnsi="Arial" w:cs="Arial"/>
        </w:rPr>
        <w:t xml:space="preserve">rely on </w:t>
      </w:r>
      <w:r w:rsidR="00AB56CD" w:rsidRPr="00485241">
        <w:rPr>
          <w:rFonts w:ascii="Arial" w:hAnsi="Arial" w:cs="Arial"/>
        </w:rPr>
        <w:t xml:space="preserve">overly optimistic </w:t>
      </w:r>
      <w:r w:rsidR="00CA1911" w:rsidRPr="00485241">
        <w:rPr>
          <w:rFonts w:ascii="Arial" w:hAnsi="Arial" w:cs="Arial"/>
        </w:rPr>
        <w:t xml:space="preserve">financial assumptions. </w:t>
      </w:r>
    </w:p>
    <w:p w14:paraId="3CFC8F05" w14:textId="1EABD00B" w:rsidR="000139CD" w:rsidRPr="00485241" w:rsidRDefault="000139CD"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Are the proposed investors sophisticated</w:t>
      </w:r>
      <w:r w:rsidR="00CA1911" w:rsidRPr="00485241">
        <w:rPr>
          <w:rFonts w:ascii="Arial" w:hAnsi="Arial" w:cs="Arial"/>
          <w:b/>
          <w:bCs/>
        </w:rPr>
        <w:t xml:space="preserve">, </w:t>
      </w:r>
      <w:r w:rsidRPr="00485241">
        <w:rPr>
          <w:rFonts w:ascii="Arial" w:hAnsi="Arial" w:cs="Arial"/>
          <w:b/>
          <w:bCs/>
        </w:rPr>
        <w:t>experienced</w:t>
      </w:r>
      <w:r w:rsidR="00CA1911" w:rsidRPr="00485241">
        <w:rPr>
          <w:rFonts w:ascii="Arial" w:hAnsi="Arial" w:cs="Arial"/>
          <w:b/>
          <w:bCs/>
        </w:rPr>
        <w:t>, and accredited</w:t>
      </w:r>
      <w:r w:rsidRPr="00485241">
        <w:rPr>
          <w:rFonts w:ascii="Arial" w:hAnsi="Arial" w:cs="Arial"/>
          <w:b/>
          <w:bCs/>
        </w:rPr>
        <w:t>?</w:t>
      </w:r>
    </w:p>
    <w:p w14:paraId="1E8AEEA9" w14:textId="44417916" w:rsidR="00CA1911" w:rsidRPr="00485241" w:rsidRDefault="00C40CD5" w:rsidP="00CA1911">
      <w:pPr>
        <w:spacing w:line="240" w:lineRule="auto"/>
        <w:ind w:firstLine="720"/>
        <w:rPr>
          <w:rFonts w:ascii="Arial" w:hAnsi="Arial" w:cs="Arial"/>
        </w:rPr>
      </w:pPr>
      <w:r w:rsidRPr="00485241">
        <w:rPr>
          <w:rFonts w:ascii="Arial" w:hAnsi="Arial" w:cs="Arial"/>
        </w:rPr>
        <w:t>P</w:t>
      </w:r>
      <w:r w:rsidR="00CA1911" w:rsidRPr="00485241">
        <w:rPr>
          <w:rFonts w:ascii="Arial" w:hAnsi="Arial" w:cs="Arial"/>
        </w:rPr>
        <w:t>rivate placements or startup investment opportunities are</w:t>
      </w:r>
      <w:r w:rsidRPr="00485241">
        <w:rPr>
          <w:rFonts w:ascii="Arial" w:hAnsi="Arial" w:cs="Arial"/>
        </w:rPr>
        <w:t xml:space="preserve"> inherently</w:t>
      </w:r>
      <w:r w:rsidR="00CA1911" w:rsidRPr="00485241">
        <w:rPr>
          <w:rFonts w:ascii="Arial" w:hAnsi="Arial" w:cs="Arial"/>
        </w:rPr>
        <w:t xml:space="preserve"> risky and inappropriate investments for most people.</w:t>
      </w:r>
      <w:r w:rsidRPr="00485241">
        <w:rPr>
          <w:rFonts w:ascii="Arial" w:hAnsi="Arial" w:cs="Arial"/>
        </w:rPr>
        <w:t xml:space="preserve"> </w:t>
      </w:r>
      <w:r w:rsidR="003A5F8C" w:rsidRPr="00485241">
        <w:rPr>
          <w:rFonts w:ascii="Arial" w:hAnsi="Arial" w:cs="Arial"/>
        </w:rPr>
        <w:t xml:space="preserve"> In most instances, investors must meet the state or federal criteria for </w:t>
      </w:r>
      <w:proofErr w:type="gramStart"/>
      <w:r w:rsidR="003A5F8C" w:rsidRPr="00485241">
        <w:rPr>
          <w:rFonts w:ascii="Arial" w:hAnsi="Arial" w:cs="Arial"/>
        </w:rPr>
        <w:t>being accredited (see below)</w:t>
      </w:r>
      <w:proofErr w:type="gramEnd"/>
      <w:r w:rsidR="003A5F8C" w:rsidRPr="00485241">
        <w:rPr>
          <w:rFonts w:ascii="Arial" w:hAnsi="Arial" w:cs="Arial"/>
        </w:rPr>
        <w:t xml:space="preserve">. </w:t>
      </w:r>
      <w:r w:rsidRPr="00485241">
        <w:rPr>
          <w:rFonts w:ascii="Arial" w:hAnsi="Arial" w:cs="Arial"/>
        </w:rPr>
        <w:t xml:space="preserve"> Inexperienced investors or those with modest means are </w:t>
      </w:r>
      <w:r w:rsidR="003A5F8C" w:rsidRPr="00485241">
        <w:rPr>
          <w:rFonts w:ascii="Arial" w:hAnsi="Arial" w:cs="Arial"/>
        </w:rPr>
        <w:t xml:space="preserve">unable to bear investment losses and are </w:t>
      </w:r>
      <w:r w:rsidRPr="00485241">
        <w:rPr>
          <w:rFonts w:ascii="Arial" w:hAnsi="Arial" w:cs="Arial"/>
        </w:rPr>
        <w:t>more likely to pursue securities claims if the investment opportunity fails</w:t>
      </w:r>
      <w:r w:rsidR="002D0FAA" w:rsidRPr="00485241">
        <w:rPr>
          <w:rFonts w:ascii="Arial" w:hAnsi="Arial" w:cs="Arial"/>
        </w:rPr>
        <w:t>—their claims are also more likely to succeed</w:t>
      </w:r>
      <w:r w:rsidR="003A5F8C" w:rsidRPr="00485241">
        <w:rPr>
          <w:rFonts w:ascii="Arial" w:hAnsi="Arial" w:cs="Arial"/>
        </w:rPr>
        <w:t xml:space="preserve">.  Consider it a red flag if your client or </w:t>
      </w:r>
      <w:r w:rsidR="002D0FAA" w:rsidRPr="00485241">
        <w:rPr>
          <w:rFonts w:ascii="Arial" w:hAnsi="Arial" w:cs="Arial"/>
        </w:rPr>
        <w:t xml:space="preserve">the </w:t>
      </w:r>
      <w:r w:rsidR="003A5F8C" w:rsidRPr="00485241">
        <w:rPr>
          <w:rFonts w:ascii="Arial" w:hAnsi="Arial" w:cs="Arial"/>
        </w:rPr>
        <w:t xml:space="preserve">promotors of your client’s venture </w:t>
      </w:r>
      <w:r w:rsidR="00891CCE" w:rsidRPr="00485241">
        <w:rPr>
          <w:rFonts w:ascii="Arial" w:hAnsi="Arial" w:cs="Arial"/>
        </w:rPr>
        <w:t xml:space="preserve">encourage potential investors to invest retirement funds through a self-directed IRA or similar </w:t>
      </w:r>
      <w:r w:rsidR="001240A9" w:rsidRPr="00485241">
        <w:rPr>
          <w:rFonts w:ascii="Arial" w:hAnsi="Arial" w:cs="Arial"/>
        </w:rPr>
        <w:t>self-</w:t>
      </w:r>
      <w:r w:rsidR="002D0FAA" w:rsidRPr="00485241">
        <w:rPr>
          <w:rFonts w:ascii="Arial" w:hAnsi="Arial" w:cs="Arial"/>
        </w:rPr>
        <w:t xml:space="preserve">guided </w:t>
      </w:r>
      <w:r w:rsidR="001240A9" w:rsidRPr="00485241">
        <w:rPr>
          <w:rFonts w:ascii="Arial" w:hAnsi="Arial" w:cs="Arial"/>
        </w:rPr>
        <w:t xml:space="preserve">investment </w:t>
      </w:r>
      <w:r w:rsidR="00891CCE" w:rsidRPr="00485241">
        <w:rPr>
          <w:rFonts w:ascii="Arial" w:hAnsi="Arial" w:cs="Arial"/>
        </w:rPr>
        <w:t>vehicle.  Also, b</w:t>
      </w:r>
      <w:r w:rsidR="003A5F8C" w:rsidRPr="00485241">
        <w:rPr>
          <w:rFonts w:ascii="Arial" w:hAnsi="Arial" w:cs="Arial"/>
        </w:rPr>
        <w:t>eware of clients who promote investment opportunities to people in their religious congregation or social organization in which</w:t>
      </w:r>
      <w:r w:rsidR="00891CCE" w:rsidRPr="00485241">
        <w:rPr>
          <w:rFonts w:ascii="Arial" w:hAnsi="Arial" w:cs="Arial"/>
        </w:rPr>
        <w:t xml:space="preserve"> trust </w:t>
      </w:r>
      <w:proofErr w:type="gramStart"/>
      <w:r w:rsidR="00891CCE" w:rsidRPr="00485241">
        <w:rPr>
          <w:rFonts w:ascii="Arial" w:hAnsi="Arial" w:cs="Arial"/>
        </w:rPr>
        <w:t>is presumed</w:t>
      </w:r>
      <w:proofErr w:type="gramEnd"/>
      <w:r w:rsidR="00891CCE" w:rsidRPr="00485241">
        <w:rPr>
          <w:rFonts w:ascii="Arial" w:hAnsi="Arial" w:cs="Arial"/>
        </w:rPr>
        <w:t xml:space="preserve">. </w:t>
      </w:r>
    </w:p>
    <w:p w14:paraId="30E22420" w14:textId="6263824F" w:rsidR="000139CD" w:rsidRPr="00485241" w:rsidRDefault="000139CD"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Have I conducted an analysis of available securities exemptions under federal and state law?</w:t>
      </w:r>
    </w:p>
    <w:p w14:paraId="6242038E" w14:textId="21AC79D6" w:rsidR="003A5F8C" w:rsidRPr="00485241" w:rsidRDefault="00891CCE" w:rsidP="00891CCE">
      <w:pPr>
        <w:spacing w:line="240" w:lineRule="auto"/>
        <w:ind w:firstLine="720"/>
        <w:rPr>
          <w:rFonts w:ascii="Arial" w:hAnsi="Arial" w:cs="Arial"/>
          <w:b/>
          <w:bCs/>
        </w:rPr>
      </w:pPr>
      <w:r w:rsidRPr="00485241">
        <w:rPr>
          <w:rFonts w:ascii="Arial" w:hAnsi="Arial" w:cs="Arial"/>
        </w:rPr>
        <w:t xml:space="preserve">The general rule is all securities must </w:t>
      </w:r>
      <w:proofErr w:type="gramStart"/>
      <w:r w:rsidRPr="00485241">
        <w:rPr>
          <w:rFonts w:ascii="Arial" w:hAnsi="Arial" w:cs="Arial"/>
        </w:rPr>
        <w:t>be registered</w:t>
      </w:r>
      <w:proofErr w:type="gramEnd"/>
      <w:r w:rsidRPr="00485241">
        <w:rPr>
          <w:rFonts w:ascii="Arial" w:hAnsi="Arial" w:cs="Arial"/>
        </w:rPr>
        <w:t xml:space="preserve"> under either state or federal </w:t>
      </w:r>
      <w:r w:rsidR="00BC07EE" w:rsidRPr="00485241">
        <w:rPr>
          <w:rFonts w:ascii="Arial" w:hAnsi="Arial" w:cs="Arial"/>
        </w:rPr>
        <w:t>law unless</w:t>
      </w:r>
      <w:r w:rsidRPr="00485241">
        <w:rPr>
          <w:rFonts w:ascii="Arial" w:hAnsi="Arial" w:cs="Arial"/>
        </w:rPr>
        <w:t xml:space="preserve"> a specific </w:t>
      </w:r>
      <w:r w:rsidR="00BC07EE" w:rsidRPr="00485241">
        <w:rPr>
          <w:rFonts w:ascii="Arial" w:hAnsi="Arial" w:cs="Arial"/>
        </w:rPr>
        <w:t xml:space="preserve">registration </w:t>
      </w:r>
      <w:r w:rsidRPr="00485241">
        <w:rPr>
          <w:rFonts w:ascii="Arial" w:hAnsi="Arial" w:cs="Arial"/>
        </w:rPr>
        <w:t xml:space="preserve">exemption applies.  </w:t>
      </w:r>
      <w:r w:rsidR="00BC07EE" w:rsidRPr="00485241">
        <w:rPr>
          <w:rFonts w:ascii="Arial" w:hAnsi="Arial" w:cs="Arial"/>
        </w:rPr>
        <w:t>If a registration exemption does not apply, a</w:t>
      </w:r>
      <w:r w:rsidRPr="00485241">
        <w:rPr>
          <w:rFonts w:ascii="Arial" w:hAnsi="Arial" w:cs="Arial"/>
        </w:rPr>
        <w:t xml:space="preserve"> registration violation </w:t>
      </w:r>
      <w:r w:rsidR="00BC07EE" w:rsidRPr="00485241">
        <w:rPr>
          <w:rFonts w:ascii="Arial" w:hAnsi="Arial" w:cs="Arial"/>
        </w:rPr>
        <w:t xml:space="preserve">will </w:t>
      </w:r>
      <w:r w:rsidRPr="00485241">
        <w:rPr>
          <w:rFonts w:ascii="Arial" w:hAnsi="Arial" w:cs="Arial"/>
        </w:rPr>
        <w:t xml:space="preserve">result in liability to the client and, potentially, to you as the lawyer.  Most private placements rely on </w:t>
      </w:r>
      <w:r w:rsidR="001240A9" w:rsidRPr="00485241">
        <w:rPr>
          <w:rFonts w:ascii="Arial" w:hAnsi="Arial" w:cs="Arial"/>
        </w:rPr>
        <w:t>one of the</w:t>
      </w:r>
      <w:r w:rsidRPr="00485241">
        <w:rPr>
          <w:rFonts w:ascii="Arial" w:hAnsi="Arial" w:cs="Arial"/>
        </w:rPr>
        <w:t xml:space="preserve"> accredited investor exemption</w:t>
      </w:r>
      <w:r w:rsidR="001240A9" w:rsidRPr="00485241">
        <w:rPr>
          <w:rFonts w:ascii="Arial" w:hAnsi="Arial" w:cs="Arial"/>
        </w:rPr>
        <w:t>s</w:t>
      </w:r>
      <w:r w:rsidRPr="00485241">
        <w:rPr>
          <w:rFonts w:ascii="Arial" w:hAnsi="Arial" w:cs="Arial"/>
        </w:rPr>
        <w:t xml:space="preserve">, but </w:t>
      </w:r>
      <w:r w:rsidR="001F3C4F" w:rsidRPr="00485241">
        <w:rPr>
          <w:rFonts w:ascii="Arial" w:hAnsi="Arial" w:cs="Arial"/>
        </w:rPr>
        <w:t xml:space="preserve">you should </w:t>
      </w:r>
      <w:r w:rsidR="001750C3" w:rsidRPr="00485241">
        <w:rPr>
          <w:rFonts w:ascii="Arial" w:hAnsi="Arial" w:cs="Arial"/>
        </w:rPr>
        <w:t xml:space="preserve">not assume that </w:t>
      </w:r>
      <w:r w:rsidR="00BC07EE" w:rsidRPr="00485241">
        <w:rPr>
          <w:rFonts w:ascii="Arial" w:hAnsi="Arial" w:cs="Arial"/>
        </w:rPr>
        <w:t>a</w:t>
      </w:r>
      <w:r w:rsidR="00C24706">
        <w:rPr>
          <w:rFonts w:ascii="Arial" w:hAnsi="Arial" w:cs="Arial"/>
        </w:rPr>
        <w:t>n</w:t>
      </w:r>
      <w:r w:rsidR="001750C3" w:rsidRPr="00485241">
        <w:rPr>
          <w:rFonts w:ascii="Arial" w:hAnsi="Arial" w:cs="Arial"/>
        </w:rPr>
        <w:t xml:space="preserve"> accredited investor exemption alone will shield your client or you from Oregon securities liability.  Also, d</w:t>
      </w:r>
      <w:r w:rsidRPr="00485241">
        <w:rPr>
          <w:rFonts w:ascii="Arial" w:hAnsi="Arial" w:cs="Arial"/>
        </w:rPr>
        <w:t xml:space="preserve">epending on the circumstances, certain verifications may </w:t>
      </w:r>
      <w:proofErr w:type="gramStart"/>
      <w:r w:rsidRPr="00485241">
        <w:rPr>
          <w:rFonts w:ascii="Arial" w:hAnsi="Arial" w:cs="Arial"/>
        </w:rPr>
        <w:t>be required</w:t>
      </w:r>
      <w:proofErr w:type="gramEnd"/>
      <w:r w:rsidRPr="00485241">
        <w:rPr>
          <w:rFonts w:ascii="Arial" w:hAnsi="Arial" w:cs="Arial"/>
        </w:rPr>
        <w:t xml:space="preserve"> by using investor questionnaire</w:t>
      </w:r>
      <w:r w:rsidR="00C24706">
        <w:rPr>
          <w:rFonts w:ascii="Arial" w:hAnsi="Arial" w:cs="Arial"/>
        </w:rPr>
        <w:t>s</w:t>
      </w:r>
      <w:r w:rsidRPr="00485241">
        <w:rPr>
          <w:rFonts w:ascii="Arial" w:hAnsi="Arial" w:cs="Arial"/>
        </w:rPr>
        <w:t xml:space="preserve"> or other procedures</w:t>
      </w:r>
      <w:r w:rsidR="001F3C4F" w:rsidRPr="00485241">
        <w:rPr>
          <w:rFonts w:ascii="Arial" w:hAnsi="Arial" w:cs="Arial"/>
        </w:rPr>
        <w:t xml:space="preserve"> to obtain the exemption</w:t>
      </w:r>
      <w:r w:rsidRPr="00485241">
        <w:rPr>
          <w:rFonts w:ascii="Arial" w:hAnsi="Arial" w:cs="Arial"/>
        </w:rPr>
        <w:t xml:space="preserve">.  You should not </w:t>
      </w:r>
      <w:proofErr w:type="gramStart"/>
      <w:r w:rsidRPr="00485241">
        <w:rPr>
          <w:rFonts w:ascii="Arial" w:hAnsi="Arial" w:cs="Arial"/>
        </w:rPr>
        <w:t>assist</w:t>
      </w:r>
      <w:proofErr w:type="gramEnd"/>
      <w:r w:rsidRPr="00485241">
        <w:rPr>
          <w:rFonts w:ascii="Arial" w:hAnsi="Arial" w:cs="Arial"/>
        </w:rPr>
        <w:t xml:space="preserve"> with the sale of securities</w:t>
      </w:r>
      <w:r w:rsidR="001F3C4F" w:rsidRPr="00485241">
        <w:rPr>
          <w:rFonts w:ascii="Arial" w:hAnsi="Arial" w:cs="Arial"/>
        </w:rPr>
        <w:t xml:space="preserve"> or a fundraising project</w:t>
      </w:r>
      <w:r w:rsidRPr="00485241">
        <w:rPr>
          <w:rFonts w:ascii="Arial" w:hAnsi="Arial" w:cs="Arial"/>
        </w:rPr>
        <w:t xml:space="preserve"> without an understanding of the applicable federal and state exceptions</w:t>
      </w:r>
      <w:r w:rsidR="006B45B1">
        <w:rPr>
          <w:rFonts w:ascii="Arial" w:hAnsi="Arial" w:cs="Arial"/>
        </w:rPr>
        <w:t>,</w:t>
      </w:r>
      <w:r w:rsidRPr="00485241">
        <w:rPr>
          <w:rFonts w:ascii="Arial" w:hAnsi="Arial" w:cs="Arial"/>
        </w:rPr>
        <w:t xml:space="preserve"> such as SEC Regulation D</w:t>
      </w:r>
      <w:r w:rsidR="006B45B1">
        <w:rPr>
          <w:rFonts w:ascii="Arial" w:hAnsi="Arial" w:cs="Arial"/>
        </w:rPr>
        <w:t xml:space="preserve"> </w:t>
      </w:r>
      <w:r w:rsidRPr="00485241">
        <w:rPr>
          <w:rFonts w:ascii="Arial" w:hAnsi="Arial" w:cs="Arial"/>
        </w:rPr>
        <w:t>Rule 506</w:t>
      </w:r>
      <w:r w:rsidR="00FB5E44">
        <w:rPr>
          <w:rFonts w:ascii="Arial" w:hAnsi="Arial" w:cs="Arial"/>
        </w:rPr>
        <w:t xml:space="preserve"> and ORS 59.035; </w:t>
      </w:r>
      <w:r w:rsidR="001750C3" w:rsidRPr="00485241">
        <w:rPr>
          <w:rFonts w:ascii="Arial" w:hAnsi="Arial" w:cs="Arial"/>
        </w:rPr>
        <w:t xml:space="preserve">OAR 441-035-0010. </w:t>
      </w:r>
    </w:p>
    <w:p w14:paraId="467EF7DB" w14:textId="6950EF4D" w:rsidR="000139CD" w:rsidRPr="00485241" w:rsidRDefault="000139CD"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Do I need to bring in other counsel to analyze securities exemptions?</w:t>
      </w:r>
    </w:p>
    <w:p w14:paraId="09318080" w14:textId="74AC8648" w:rsidR="001750C3" w:rsidRPr="00485241" w:rsidRDefault="001750C3" w:rsidP="001750C3">
      <w:pPr>
        <w:spacing w:line="240" w:lineRule="auto"/>
        <w:ind w:firstLine="720"/>
        <w:rPr>
          <w:rFonts w:ascii="Arial" w:hAnsi="Arial" w:cs="Arial"/>
        </w:rPr>
      </w:pPr>
      <w:r w:rsidRPr="00485241">
        <w:rPr>
          <w:rFonts w:ascii="Arial" w:hAnsi="Arial" w:cs="Arial"/>
        </w:rPr>
        <w:t>If you are unfamiliar with securities exemptions or documenting securities offerings and exemptions, consider associat</w:t>
      </w:r>
      <w:r w:rsidR="002F5E04">
        <w:rPr>
          <w:rFonts w:ascii="Arial" w:hAnsi="Arial" w:cs="Arial"/>
        </w:rPr>
        <w:t>ing</w:t>
      </w:r>
      <w:r w:rsidRPr="00485241">
        <w:rPr>
          <w:rFonts w:ascii="Arial" w:hAnsi="Arial" w:cs="Arial"/>
        </w:rPr>
        <w:t xml:space="preserve"> experienced securities counsel.  Using forms from the internet or even reputable sources may not protect you under </w:t>
      </w:r>
      <w:r w:rsidR="001240A9" w:rsidRPr="00485241">
        <w:rPr>
          <w:rFonts w:ascii="Arial" w:hAnsi="Arial" w:cs="Arial"/>
        </w:rPr>
        <w:t xml:space="preserve">the </w:t>
      </w:r>
      <w:r w:rsidRPr="00485241">
        <w:rPr>
          <w:rFonts w:ascii="Arial" w:hAnsi="Arial" w:cs="Arial"/>
        </w:rPr>
        <w:t>Oregon</w:t>
      </w:r>
      <w:r w:rsidR="001240A9" w:rsidRPr="00485241">
        <w:rPr>
          <w:rFonts w:ascii="Arial" w:hAnsi="Arial" w:cs="Arial"/>
        </w:rPr>
        <w:t xml:space="preserve"> Securities Law</w:t>
      </w:r>
      <w:r w:rsidRPr="00485241">
        <w:rPr>
          <w:rFonts w:ascii="Arial" w:hAnsi="Arial" w:cs="Arial"/>
        </w:rPr>
        <w:t xml:space="preserve">.  </w:t>
      </w:r>
    </w:p>
    <w:p w14:paraId="18EA1E62" w14:textId="5AABB4C4" w:rsidR="001750C3" w:rsidRPr="00485241" w:rsidRDefault="000139CD"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 xml:space="preserve">Does this deal involve an issuer or </w:t>
      </w:r>
      <w:proofErr w:type="gramStart"/>
      <w:r w:rsidRPr="00485241">
        <w:rPr>
          <w:rFonts w:ascii="Arial" w:hAnsi="Arial" w:cs="Arial"/>
          <w:b/>
          <w:bCs/>
        </w:rPr>
        <w:t>investors</w:t>
      </w:r>
      <w:proofErr w:type="gramEnd"/>
      <w:r w:rsidRPr="00485241">
        <w:rPr>
          <w:rFonts w:ascii="Arial" w:hAnsi="Arial" w:cs="Arial"/>
          <w:b/>
          <w:bCs/>
        </w:rPr>
        <w:t xml:space="preserve"> in Oregon</w:t>
      </w:r>
      <w:r w:rsidR="001750C3" w:rsidRPr="00485241">
        <w:rPr>
          <w:rFonts w:ascii="Arial" w:hAnsi="Arial" w:cs="Arial"/>
          <w:b/>
          <w:bCs/>
        </w:rPr>
        <w:t xml:space="preserve">? </w:t>
      </w:r>
    </w:p>
    <w:p w14:paraId="0021C6A2" w14:textId="56FA76C5" w:rsidR="00275224" w:rsidRPr="00485241" w:rsidRDefault="00F155E6" w:rsidP="00275224">
      <w:pPr>
        <w:spacing w:line="240" w:lineRule="auto"/>
        <w:ind w:firstLine="720"/>
        <w:rPr>
          <w:rFonts w:ascii="Arial" w:hAnsi="Arial" w:cs="Arial"/>
        </w:rPr>
      </w:pPr>
      <w:r w:rsidRPr="00485241">
        <w:rPr>
          <w:rFonts w:ascii="Arial" w:hAnsi="Arial" w:cs="Arial"/>
        </w:rPr>
        <w:t xml:space="preserve">The Oregon </w:t>
      </w:r>
      <w:r w:rsidR="001F3C4F" w:rsidRPr="00485241">
        <w:rPr>
          <w:rFonts w:ascii="Arial" w:hAnsi="Arial" w:cs="Arial"/>
        </w:rPr>
        <w:t>S</w:t>
      </w:r>
      <w:r w:rsidRPr="00485241">
        <w:rPr>
          <w:rFonts w:ascii="Arial" w:hAnsi="Arial" w:cs="Arial"/>
        </w:rPr>
        <w:t xml:space="preserve">ecurities </w:t>
      </w:r>
      <w:r w:rsidR="001F3C4F" w:rsidRPr="00485241">
        <w:rPr>
          <w:rFonts w:ascii="Arial" w:hAnsi="Arial" w:cs="Arial"/>
        </w:rPr>
        <w:t>L</w:t>
      </w:r>
      <w:r w:rsidRPr="00485241">
        <w:rPr>
          <w:rFonts w:ascii="Arial" w:hAnsi="Arial" w:cs="Arial"/>
        </w:rPr>
        <w:t>aw generally applies when the investors are Oregon residents or when the securities offering originates in Oregon, i.e.</w:t>
      </w:r>
      <w:r w:rsidR="005C3658" w:rsidRPr="00485241">
        <w:rPr>
          <w:rFonts w:ascii="Arial" w:hAnsi="Arial" w:cs="Arial"/>
        </w:rPr>
        <w:t>,</w:t>
      </w:r>
      <w:r w:rsidRPr="00485241">
        <w:rPr>
          <w:rFonts w:ascii="Arial" w:hAnsi="Arial" w:cs="Arial"/>
        </w:rPr>
        <w:t xml:space="preserve"> where the issuer is in Oregon.  </w:t>
      </w:r>
      <w:r w:rsidRPr="00485241">
        <w:rPr>
          <w:rFonts w:ascii="Arial" w:hAnsi="Arial" w:cs="Arial"/>
          <w:i/>
          <w:iCs/>
        </w:rPr>
        <w:t xml:space="preserve">See </w:t>
      </w:r>
      <w:r w:rsidRPr="00485241">
        <w:rPr>
          <w:rFonts w:ascii="Arial" w:hAnsi="Arial" w:cs="Arial"/>
        </w:rPr>
        <w:t xml:space="preserve">ORS 59.335 and 59.345.  While other states, such as Washington, impose significant liability on a </w:t>
      </w:r>
      <w:r w:rsidR="001F3C4F" w:rsidRPr="00485241">
        <w:rPr>
          <w:rFonts w:ascii="Arial" w:hAnsi="Arial" w:cs="Arial"/>
        </w:rPr>
        <w:t xml:space="preserve">seller who is </w:t>
      </w:r>
      <w:r w:rsidR="001240A9" w:rsidRPr="00485241">
        <w:rPr>
          <w:rFonts w:ascii="Arial" w:hAnsi="Arial" w:cs="Arial"/>
        </w:rPr>
        <w:t>i</w:t>
      </w:r>
      <w:r w:rsidRPr="00485241">
        <w:rPr>
          <w:rFonts w:ascii="Arial" w:hAnsi="Arial" w:cs="Arial"/>
        </w:rPr>
        <w:t xml:space="preserve">nvolved in the unlawful promotion or sale of a security, most other states do not impose liability on professionals such as attorneys, for </w:t>
      </w:r>
      <w:proofErr w:type="gramStart"/>
      <w:r w:rsidRPr="00485241">
        <w:rPr>
          <w:rFonts w:ascii="Arial" w:hAnsi="Arial" w:cs="Arial"/>
        </w:rPr>
        <w:t>participating</w:t>
      </w:r>
      <w:proofErr w:type="gramEnd"/>
      <w:r w:rsidRPr="00485241">
        <w:rPr>
          <w:rFonts w:ascii="Arial" w:hAnsi="Arial" w:cs="Arial"/>
        </w:rPr>
        <w:t xml:space="preserve"> or materially aiding in the unlawful sale.  </w:t>
      </w:r>
      <w:r w:rsidRPr="00485241">
        <w:rPr>
          <w:rFonts w:ascii="Arial" w:hAnsi="Arial" w:cs="Arial"/>
          <w:i/>
          <w:iCs/>
        </w:rPr>
        <w:t xml:space="preserve">Compare </w:t>
      </w:r>
      <w:r w:rsidRPr="00485241">
        <w:rPr>
          <w:rFonts w:ascii="Arial" w:hAnsi="Arial" w:cs="Arial"/>
        </w:rPr>
        <w:t xml:space="preserve">ORS 59.115 (3) with </w:t>
      </w:r>
      <w:r w:rsidR="00275224" w:rsidRPr="00485241">
        <w:rPr>
          <w:rFonts w:ascii="Arial" w:hAnsi="Arial" w:cs="Arial"/>
        </w:rPr>
        <w:t xml:space="preserve">RCW 21.20.430 (3).  </w:t>
      </w:r>
    </w:p>
    <w:p w14:paraId="6F28EB65" w14:textId="01DEDF01" w:rsidR="00275224" w:rsidRPr="00485241" w:rsidRDefault="000139CD"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 xml:space="preserve">Does the </w:t>
      </w:r>
      <w:r w:rsidR="002F5E04">
        <w:rPr>
          <w:rFonts w:ascii="Arial" w:hAnsi="Arial" w:cs="Arial"/>
          <w:b/>
          <w:bCs/>
        </w:rPr>
        <w:t xml:space="preserve">private placement memorandum </w:t>
      </w:r>
      <w:r w:rsidRPr="00485241">
        <w:rPr>
          <w:rFonts w:ascii="Arial" w:hAnsi="Arial" w:cs="Arial"/>
          <w:b/>
          <w:bCs/>
        </w:rPr>
        <w:t xml:space="preserve">or other disclosure document include disclosures specific to this particular investment, in addition to more generalized </w:t>
      </w:r>
      <w:r w:rsidR="002F093F" w:rsidRPr="00485241">
        <w:rPr>
          <w:rFonts w:ascii="Arial" w:hAnsi="Arial" w:cs="Arial"/>
          <w:b/>
          <w:bCs/>
        </w:rPr>
        <w:t xml:space="preserve">risk </w:t>
      </w:r>
      <w:r w:rsidRPr="00485241">
        <w:rPr>
          <w:rFonts w:ascii="Arial" w:hAnsi="Arial" w:cs="Arial"/>
          <w:b/>
          <w:bCs/>
        </w:rPr>
        <w:t>disclosures?</w:t>
      </w:r>
    </w:p>
    <w:p w14:paraId="518C5AD4" w14:textId="06E10576" w:rsidR="00275224" w:rsidRPr="00485241" w:rsidRDefault="00275224" w:rsidP="00697908">
      <w:pPr>
        <w:spacing w:line="240" w:lineRule="auto"/>
        <w:ind w:firstLine="720"/>
        <w:rPr>
          <w:rFonts w:ascii="Arial" w:hAnsi="Arial" w:cs="Arial"/>
          <w:b/>
          <w:bCs/>
        </w:rPr>
      </w:pPr>
      <w:r w:rsidRPr="00485241">
        <w:rPr>
          <w:rFonts w:ascii="Arial" w:hAnsi="Arial" w:cs="Arial"/>
        </w:rPr>
        <w:t>A private placement memorandum</w:t>
      </w:r>
      <w:r w:rsidR="002F5E04">
        <w:rPr>
          <w:rFonts w:ascii="Arial" w:hAnsi="Arial" w:cs="Arial"/>
        </w:rPr>
        <w:t xml:space="preserve"> (PPM)</w:t>
      </w:r>
      <w:r w:rsidRPr="00485241">
        <w:rPr>
          <w:rFonts w:ascii="Arial" w:hAnsi="Arial" w:cs="Arial"/>
        </w:rPr>
        <w:t xml:space="preserve"> for a private </w:t>
      </w:r>
      <w:r w:rsidR="001F3C4F" w:rsidRPr="00485241">
        <w:rPr>
          <w:rFonts w:ascii="Arial" w:hAnsi="Arial" w:cs="Arial"/>
        </w:rPr>
        <w:t>securities offering</w:t>
      </w:r>
      <w:r w:rsidRPr="00485241">
        <w:rPr>
          <w:rFonts w:ascii="Arial" w:hAnsi="Arial" w:cs="Arial"/>
        </w:rPr>
        <w:t xml:space="preserve"> </w:t>
      </w:r>
      <w:r w:rsidR="001240A9" w:rsidRPr="00485241">
        <w:rPr>
          <w:rFonts w:ascii="Arial" w:hAnsi="Arial" w:cs="Arial"/>
        </w:rPr>
        <w:t>serves the same function</w:t>
      </w:r>
      <w:r w:rsidRPr="00485241">
        <w:rPr>
          <w:rFonts w:ascii="Arial" w:hAnsi="Arial" w:cs="Arial"/>
        </w:rPr>
        <w:t xml:space="preserve"> as a prospectus in a registered securities offering</w:t>
      </w:r>
      <w:r w:rsidR="00E76403" w:rsidRPr="00485241">
        <w:rPr>
          <w:rFonts w:ascii="Arial" w:hAnsi="Arial" w:cs="Arial"/>
        </w:rPr>
        <w:t xml:space="preserve"> or public offering</w:t>
      </w:r>
      <w:r w:rsidRPr="00485241">
        <w:rPr>
          <w:rFonts w:ascii="Arial" w:hAnsi="Arial" w:cs="Arial"/>
        </w:rPr>
        <w:t xml:space="preserve">.  A PPM is a disclosure document that </w:t>
      </w:r>
      <w:r w:rsidR="002F7140" w:rsidRPr="00485241">
        <w:rPr>
          <w:rFonts w:ascii="Arial" w:hAnsi="Arial" w:cs="Arial"/>
        </w:rPr>
        <w:t>must include all information that a reasonable investor would want to know before deciding to invest.  Beware of relying too heavily on forms when drafting a PPM</w:t>
      </w:r>
      <w:r w:rsidR="001240A9" w:rsidRPr="00485241">
        <w:rPr>
          <w:rFonts w:ascii="Arial" w:hAnsi="Arial" w:cs="Arial"/>
        </w:rPr>
        <w:t>.  Am</w:t>
      </w:r>
      <w:r w:rsidR="002F7140" w:rsidRPr="00485241">
        <w:rPr>
          <w:rFonts w:ascii="Arial" w:hAnsi="Arial" w:cs="Arial"/>
        </w:rPr>
        <w:t>ong other things</w:t>
      </w:r>
      <w:r w:rsidR="00697908" w:rsidRPr="00485241">
        <w:rPr>
          <w:rFonts w:ascii="Arial" w:hAnsi="Arial" w:cs="Arial"/>
        </w:rPr>
        <w:t>,</w:t>
      </w:r>
      <w:r w:rsidR="002F7140" w:rsidRPr="00485241">
        <w:rPr>
          <w:rFonts w:ascii="Arial" w:hAnsi="Arial" w:cs="Arial"/>
        </w:rPr>
        <w:t xml:space="preserve"> the PPM should include</w:t>
      </w:r>
      <w:r w:rsidR="001240A9" w:rsidRPr="00485241">
        <w:rPr>
          <w:rFonts w:ascii="Arial" w:hAnsi="Arial" w:cs="Arial"/>
        </w:rPr>
        <w:t xml:space="preserve"> detailed</w:t>
      </w:r>
      <w:r w:rsidR="002F7140" w:rsidRPr="00485241">
        <w:rPr>
          <w:rFonts w:ascii="Arial" w:hAnsi="Arial" w:cs="Arial"/>
        </w:rPr>
        <w:t xml:space="preserve"> risk disclosures specific to </w:t>
      </w:r>
      <w:r w:rsidR="001F3C4F" w:rsidRPr="00485241">
        <w:rPr>
          <w:rFonts w:ascii="Arial" w:hAnsi="Arial" w:cs="Arial"/>
        </w:rPr>
        <w:t>your client’s</w:t>
      </w:r>
      <w:r w:rsidR="002F7140" w:rsidRPr="00485241">
        <w:rPr>
          <w:rFonts w:ascii="Arial" w:hAnsi="Arial" w:cs="Arial"/>
        </w:rPr>
        <w:t xml:space="preserve"> </w:t>
      </w:r>
      <w:r w:rsidR="00697908" w:rsidRPr="00485241">
        <w:rPr>
          <w:rFonts w:ascii="Arial" w:hAnsi="Arial" w:cs="Arial"/>
        </w:rPr>
        <w:lastRenderedPageBreak/>
        <w:t xml:space="preserve">proposed offering.  Also, the PPM should never </w:t>
      </w:r>
      <w:proofErr w:type="gramStart"/>
      <w:r w:rsidR="00697908" w:rsidRPr="00485241">
        <w:rPr>
          <w:rFonts w:ascii="Arial" w:hAnsi="Arial" w:cs="Arial"/>
        </w:rPr>
        <w:t>be thought</w:t>
      </w:r>
      <w:proofErr w:type="gramEnd"/>
      <w:r w:rsidR="00697908" w:rsidRPr="00485241">
        <w:rPr>
          <w:rFonts w:ascii="Arial" w:hAnsi="Arial" w:cs="Arial"/>
        </w:rPr>
        <w:t xml:space="preserve"> of as a marketing tool.  It should not </w:t>
      </w:r>
      <w:proofErr w:type="gramStart"/>
      <w:r w:rsidR="00697908" w:rsidRPr="00485241">
        <w:rPr>
          <w:rFonts w:ascii="Arial" w:hAnsi="Arial" w:cs="Arial"/>
        </w:rPr>
        <w:t>contain</w:t>
      </w:r>
      <w:proofErr w:type="gramEnd"/>
      <w:r w:rsidR="00697908" w:rsidRPr="00485241">
        <w:rPr>
          <w:rFonts w:ascii="Arial" w:hAnsi="Arial" w:cs="Arial"/>
        </w:rPr>
        <w:t xml:space="preserve"> puffery</w:t>
      </w:r>
      <w:r w:rsidR="001240A9" w:rsidRPr="00485241">
        <w:rPr>
          <w:rFonts w:ascii="Arial" w:hAnsi="Arial" w:cs="Arial"/>
        </w:rPr>
        <w:t xml:space="preserve">, exaggerations, </w:t>
      </w:r>
      <w:r w:rsidR="00697908" w:rsidRPr="00485241">
        <w:rPr>
          <w:rFonts w:ascii="Arial" w:hAnsi="Arial" w:cs="Arial"/>
        </w:rPr>
        <w:t xml:space="preserve">or overly confident statements about the proposed venture.  </w:t>
      </w:r>
      <w:r w:rsidR="001240A9" w:rsidRPr="00485241">
        <w:rPr>
          <w:rFonts w:ascii="Arial" w:hAnsi="Arial" w:cs="Arial"/>
        </w:rPr>
        <w:t>Nor</w:t>
      </w:r>
      <w:r w:rsidR="00697908" w:rsidRPr="00485241">
        <w:rPr>
          <w:rFonts w:ascii="Arial" w:hAnsi="Arial" w:cs="Arial"/>
        </w:rPr>
        <w:t xml:space="preserve"> should </w:t>
      </w:r>
      <w:r w:rsidR="001240A9" w:rsidRPr="00485241">
        <w:rPr>
          <w:rFonts w:ascii="Arial" w:hAnsi="Arial" w:cs="Arial"/>
        </w:rPr>
        <w:t>the PPM</w:t>
      </w:r>
      <w:r w:rsidR="00697908" w:rsidRPr="00485241">
        <w:rPr>
          <w:rFonts w:ascii="Arial" w:hAnsi="Arial" w:cs="Arial"/>
        </w:rPr>
        <w:t xml:space="preserve"> inflate the experience or </w:t>
      </w:r>
      <w:proofErr w:type="gramStart"/>
      <w:r w:rsidR="00697908" w:rsidRPr="00485241">
        <w:rPr>
          <w:rFonts w:ascii="Arial" w:hAnsi="Arial" w:cs="Arial"/>
        </w:rPr>
        <w:t>expertise</w:t>
      </w:r>
      <w:proofErr w:type="gramEnd"/>
      <w:r w:rsidR="00697908" w:rsidRPr="00485241">
        <w:rPr>
          <w:rFonts w:ascii="Arial" w:hAnsi="Arial" w:cs="Arial"/>
        </w:rPr>
        <w:t xml:space="preserve"> that the key people involved in running the business</w:t>
      </w:r>
      <w:r w:rsidR="001240A9" w:rsidRPr="00485241">
        <w:rPr>
          <w:rFonts w:ascii="Arial" w:hAnsi="Arial" w:cs="Arial"/>
        </w:rPr>
        <w:t>.  If one of the key people has a checke</w:t>
      </w:r>
      <w:r w:rsidR="00724634">
        <w:rPr>
          <w:rFonts w:ascii="Arial" w:hAnsi="Arial" w:cs="Arial"/>
        </w:rPr>
        <w:t>re</w:t>
      </w:r>
      <w:r w:rsidR="001240A9" w:rsidRPr="00485241">
        <w:rPr>
          <w:rFonts w:ascii="Arial" w:hAnsi="Arial" w:cs="Arial"/>
        </w:rPr>
        <w:t xml:space="preserve">d past, that past should be </w:t>
      </w:r>
      <w:proofErr w:type="gramStart"/>
      <w:r w:rsidR="001240A9" w:rsidRPr="00485241">
        <w:rPr>
          <w:rFonts w:ascii="Arial" w:hAnsi="Arial" w:cs="Arial"/>
        </w:rPr>
        <w:t>disclosed</w:t>
      </w:r>
      <w:proofErr w:type="gramEnd"/>
      <w:r w:rsidR="001240A9" w:rsidRPr="00485241">
        <w:rPr>
          <w:rFonts w:ascii="Arial" w:hAnsi="Arial" w:cs="Arial"/>
        </w:rPr>
        <w:t xml:space="preserve"> to investors. </w:t>
      </w:r>
    </w:p>
    <w:p w14:paraId="14A88861" w14:textId="699CB568" w:rsidR="00233213" w:rsidRPr="00485241" w:rsidRDefault="002F093F" w:rsidP="00485241">
      <w:pPr>
        <w:pStyle w:val="ListParagraph"/>
        <w:numPr>
          <w:ilvl w:val="0"/>
          <w:numId w:val="1"/>
        </w:numPr>
        <w:spacing w:line="240" w:lineRule="auto"/>
        <w:ind w:left="360"/>
        <w:rPr>
          <w:rFonts w:ascii="Arial" w:hAnsi="Arial" w:cs="Arial"/>
          <w:b/>
          <w:bCs/>
        </w:rPr>
      </w:pPr>
      <w:r w:rsidRPr="00485241">
        <w:rPr>
          <w:rFonts w:ascii="Arial" w:hAnsi="Arial" w:cs="Arial"/>
          <w:b/>
          <w:bCs/>
        </w:rPr>
        <w:t xml:space="preserve">Will </w:t>
      </w:r>
      <w:r w:rsidR="005C3658" w:rsidRPr="00485241">
        <w:rPr>
          <w:rFonts w:ascii="Arial" w:hAnsi="Arial" w:cs="Arial"/>
          <w:b/>
          <w:bCs/>
        </w:rPr>
        <w:t>my</w:t>
      </w:r>
      <w:r w:rsidRPr="00485241">
        <w:rPr>
          <w:rFonts w:ascii="Arial" w:hAnsi="Arial" w:cs="Arial"/>
          <w:b/>
          <w:bCs/>
        </w:rPr>
        <w:t xml:space="preserve"> client certify to me in a signed writing that every statement in the PPM or other disclosure documents is 100% </w:t>
      </w:r>
      <w:proofErr w:type="gramStart"/>
      <w:r w:rsidRPr="00485241">
        <w:rPr>
          <w:rFonts w:ascii="Arial" w:hAnsi="Arial" w:cs="Arial"/>
          <w:b/>
          <w:bCs/>
        </w:rPr>
        <w:t>accurate</w:t>
      </w:r>
      <w:proofErr w:type="gramEnd"/>
      <w:r w:rsidRPr="00485241">
        <w:rPr>
          <w:rFonts w:ascii="Arial" w:hAnsi="Arial" w:cs="Arial"/>
          <w:b/>
          <w:bCs/>
        </w:rPr>
        <w:t xml:space="preserve"> and not misleading?</w:t>
      </w:r>
    </w:p>
    <w:p w14:paraId="0EB201CF" w14:textId="78B19DD2" w:rsidR="00233213" w:rsidRPr="00485241" w:rsidRDefault="00233213" w:rsidP="001F3C4F">
      <w:pPr>
        <w:spacing w:line="240" w:lineRule="auto"/>
        <w:ind w:firstLine="720"/>
        <w:rPr>
          <w:rFonts w:ascii="Arial" w:hAnsi="Arial" w:cs="Arial"/>
        </w:rPr>
      </w:pPr>
      <w:r w:rsidRPr="00485241">
        <w:rPr>
          <w:rFonts w:ascii="Arial" w:hAnsi="Arial" w:cs="Arial"/>
        </w:rPr>
        <w:t xml:space="preserve">You should require your client to </w:t>
      </w:r>
      <w:r w:rsidR="00167F76" w:rsidRPr="00485241">
        <w:rPr>
          <w:rFonts w:ascii="Arial" w:hAnsi="Arial" w:cs="Arial"/>
        </w:rPr>
        <w:t>verify</w:t>
      </w:r>
      <w:r w:rsidRPr="00485241">
        <w:rPr>
          <w:rFonts w:ascii="Arial" w:hAnsi="Arial" w:cs="Arial"/>
        </w:rPr>
        <w:t xml:space="preserve"> in writing that everything in the PPM (</w:t>
      </w:r>
      <w:r w:rsidR="001F3C4F" w:rsidRPr="00485241">
        <w:rPr>
          <w:rFonts w:ascii="Arial" w:hAnsi="Arial" w:cs="Arial"/>
        </w:rPr>
        <w:t>and</w:t>
      </w:r>
      <w:r w:rsidRPr="00485241">
        <w:rPr>
          <w:rFonts w:ascii="Arial" w:hAnsi="Arial" w:cs="Arial"/>
        </w:rPr>
        <w:t xml:space="preserve"> any other written statement to investors) is accurate and that it does not omit facts that would be needed to prevent the PPM from being misleading, i.e.</w:t>
      </w:r>
      <w:r w:rsidR="003254AE" w:rsidRPr="00485241">
        <w:rPr>
          <w:rFonts w:ascii="Arial" w:hAnsi="Arial" w:cs="Arial"/>
        </w:rPr>
        <w:t>,</w:t>
      </w:r>
      <w:r w:rsidRPr="00485241">
        <w:rPr>
          <w:rFonts w:ascii="Arial" w:hAnsi="Arial" w:cs="Arial"/>
        </w:rPr>
        <w:t xml:space="preserve"> half-truths are not allowed. </w:t>
      </w:r>
      <w:r w:rsidR="001F3C4F" w:rsidRPr="00485241">
        <w:rPr>
          <w:rFonts w:ascii="Arial" w:hAnsi="Arial" w:cs="Arial"/>
        </w:rPr>
        <w:t xml:space="preserve"> ORS 59.115(1)(b).</w:t>
      </w:r>
      <w:r w:rsidRPr="00485241">
        <w:rPr>
          <w:rFonts w:ascii="Arial" w:hAnsi="Arial" w:cs="Arial"/>
        </w:rPr>
        <w:t xml:space="preserve"> </w:t>
      </w:r>
      <w:r w:rsidR="00176165" w:rsidRPr="00485241">
        <w:rPr>
          <w:rFonts w:ascii="Arial" w:hAnsi="Arial" w:cs="Arial"/>
        </w:rPr>
        <w:t xml:space="preserve"> </w:t>
      </w:r>
      <w:r w:rsidRPr="00485241">
        <w:rPr>
          <w:rFonts w:ascii="Arial" w:hAnsi="Arial" w:cs="Arial"/>
        </w:rPr>
        <w:t xml:space="preserve">If </w:t>
      </w:r>
      <w:r w:rsidR="00176165" w:rsidRPr="00485241">
        <w:rPr>
          <w:rFonts w:ascii="Arial" w:hAnsi="Arial" w:cs="Arial"/>
        </w:rPr>
        <w:t xml:space="preserve">any </w:t>
      </w:r>
      <w:r w:rsidRPr="00485241">
        <w:rPr>
          <w:rFonts w:ascii="Arial" w:hAnsi="Arial" w:cs="Arial"/>
        </w:rPr>
        <w:t>information appears inaccurate</w:t>
      </w:r>
      <w:r w:rsidR="00176165" w:rsidRPr="00485241">
        <w:rPr>
          <w:rFonts w:ascii="Arial" w:hAnsi="Arial" w:cs="Arial"/>
        </w:rPr>
        <w:t xml:space="preserve">, </w:t>
      </w:r>
      <w:r w:rsidRPr="00485241">
        <w:rPr>
          <w:rFonts w:ascii="Arial" w:hAnsi="Arial" w:cs="Arial"/>
        </w:rPr>
        <w:t>unreliable</w:t>
      </w:r>
      <w:r w:rsidR="00123B4F">
        <w:rPr>
          <w:rFonts w:ascii="Arial" w:hAnsi="Arial" w:cs="Arial"/>
        </w:rPr>
        <w:t>,</w:t>
      </w:r>
      <w:r w:rsidR="00176165" w:rsidRPr="00485241">
        <w:rPr>
          <w:rFonts w:ascii="Arial" w:hAnsi="Arial" w:cs="Arial"/>
        </w:rPr>
        <w:t xml:space="preserve"> or exaggerated</w:t>
      </w:r>
      <w:r w:rsidRPr="00485241">
        <w:rPr>
          <w:rFonts w:ascii="Arial" w:hAnsi="Arial" w:cs="Arial"/>
        </w:rPr>
        <w:t xml:space="preserve">, you should investigate further </w:t>
      </w:r>
      <w:r w:rsidR="00167F76" w:rsidRPr="00485241">
        <w:rPr>
          <w:rFonts w:ascii="Arial" w:hAnsi="Arial" w:cs="Arial"/>
        </w:rPr>
        <w:t xml:space="preserve">or obtain </w:t>
      </w:r>
      <w:proofErr w:type="gramStart"/>
      <w:r w:rsidR="00167F76" w:rsidRPr="00485241">
        <w:rPr>
          <w:rFonts w:ascii="Arial" w:hAnsi="Arial" w:cs="Arial"/>
        </w:rPr>
        <w:t>additional</w:t>
      </w:r>
      <w:proofErr w:type="gramEnd"/>
      <w:r w:rsidR="00167F76" w:rsidRPr="00485241">
        <w:rPr>
          <w:rFonts w:ascii="Arial" w:hAnsi="Arial" w:cs="Arial"/>
        </w:rPr>
        <w:t xml:space="preserve"> </w:t>
      </w:r>
      <w:r w:rsidRPr="00485241">
        <w:rPr>
          <w:rFonts w:ascii="Arial" w:hAnsi="Arial" w:cs="Arial"/>
        </w:rPr>
        <w:t>verification</w:t>
      </w:r>
      <w:r w:rsidR="00167F76" w:rsidRPr="00485241">
        <w:rPr>
          <w:rFonts w:ascii="Arial" w:hAnsi="Arial" w:cs="Arial"/>
        </w:rPr>
        <w:t>.</w:t>
      </w:r>
      <w:r w:rsidRPr="00485241">
        <w:rPr>
          <w:rFonts w:ascii="Arial" w:hAnsi="Arial" w:cs="Arial"/>
        </w:rPr>
        <w:t xml:space="preserve"> </w:t>
      </w:r>
      <w:r w:rsidR="00176165" w:rsidRPr="00485241">
        <w:rPr>
          <w:rFonts w:ascii="Arial" w:hAnsi="Arial" w:cs="Arial"/>
        </w:rPr>
        <w:t xml:space="preserve"> </w:t>
      </w:r>
      <w:r w:rsidR="003254AE" w:rsidRPr="00485241">
        <w:rPr>
          <w:rFonts w:ascii="Arial" w:hAnsi="Arial" w:cs="Arial"/>
        </w:rPr>
        <w:t>You should document the steps you took to perform this due diligence.</w:t>
      </w:r>
      <w:r w:rsidRPr="00485241">
        <w:rPr>
          <w:rFonts w:ascii="Arial" w:hAnsi="Arial" w:cs="Arial"/>
        </w:rPr>
        <w:t xml:space="preserve"> </w:t>
      </w:r>
      <w:r w:rsidR="00176165" w:rsidRPr="00485241">
        <w:rPr>
          <w:rFonts w:ascii="Arial" w:hAnsi="Arial" w:cs="Arial"/>
        </w:rPr>
        <w:t xml:space="preserve"> </w:t>
      </w:r>
      <w:r w:rsidRPr="00485241">
        <w:rPr>
          <w:rFonts w:ascii="Arial" w:hAnsi="Arial" w:cs="Arial"/>
        </w:rPr>
        <w:t xml:space="preserve">The due </w:t>
      </w:r>
      <w:r w:rsidR="00167F76" w:rsidRPr="00485241">
        <w:rPr>
          <w:rFonts w:ascii="Arial" w:hAnsi="Arial" w:cs="Arial"/>
        </w:rPr>
        <w:t xml:space="preserve">diligence defense requires you </w:t>
      </w:r>
      <w:r w:rsidR="003254AE" w:rsidRPr="00485241">
        <w:rPr>
          <w:rFonts w:ascii="Arial" w:hAnsi="Arial" w:cs="Arial"/>
        </w:rPr>
        <w:t xml:space="preserve">to </w:t>
      </w:r>
      <w:proofErr w:type="gramStart"/>
      <w:r w:rsidR="003254AE" w:rsidRPr="00485241">
        <w:rPr>
          <w:rFonts w:ascii="Arial" w:hAnsi="Arial" w:cs="Arial"/>
        </w:rPr>
        <w:t>establish</w:t>
      </w:r>
      <w:proofErr w:type="gramEnd"/>
      <w:r w:rsidR="003254AE" w:rsidRPr="00485241">
        <w:rPr>
          <w:rFonts w:ascii="Arial" w:hAnsi="Arial" w:cs="Arial"/>
        </w:rPr>
        <w:t xml:space="preserve"> that you </w:t>
      </w:r>
      <w:r w:rsidR="00167F76" w:rsidRPr="00485241">
        <w:rPr>
          <w:rFonts w:ascii="Arial" w:hAnsi="Arial" w:cs="Arial"/>
        </w:rPr>
        <w:t>exercise</w:t>
      </w:r>
      <w:r w:rsidR="003254AE" w:rsidRPr="00485241">
        <w:rPr>
          <w:rFonts w:ascii="Arial" w:hAnsi="Arial" w:cs="Arial"/>
        </w:rPr>
        <w:t>d</w:t>
      </w:r>
      <w:r w:rsidR="00167F76" w:rsidRPr="00485241">
        <w:rPr>
          <w:rFonts w:ascii="Arial" w:hAnsi="Arial" w:cs="Arial"/>
        </w:rPr>
        <w:t xml:space="preserve"> reasonable care to </w:t>
      </w:r>
      <w:r w:rsidR="003254AE" w:rsidRPr="00485241">
        <w:rPr>
          <w:rFonts w:ascii="Arial" w:hAnsi="Arial" w:cs="Arial"/>
        </w:rPr>
        <w:t xml:space="preserve">learn any facts that could </w:t>
      </w:r>
      <w:proofErr w:type="gramStart"/>
      <w:r w:rsidR="003254AE" w:rsidRPr="00485241">
        <w:rPr>
          <w:rFonts w:ascii="Arial" w:hAnsi="Arial" w:cs="Arial"/>
        </w:rPr>
        <w:t>constitute</w:t>
      </w:r>
      <w:proofErr w:type="gramEnd"/>
      <w:r w:rsidR="003254AE" w:rsidRPr="00485241">
        <w:rPr>
          <w:rFonts w:ascii="Arial" w:hAnsi="Arial" w:cs="Arial"/>
        </w:rPr>
        <w:t xml:space="preserve"> a securities violation.  ORS 59.115(3).</w:t>
      </w:r>
    </w:p>
    <w:p w14:paraId="26BA6092" w14:textId="228E567F" w:rsidR="002F093F" w:rsidRPr="00485241" w:rsidRDefault="002F093F" w:rsidP="00485241">
      <w:pPr>
        <w:pStyle w:val="ListParagraph"/>
        <w:numPr>
          <w:ilvl w:val="0"/>
          <w:numId w:val="1"/>
        </w:numPr>
        <w:spacing w:line="240" w:lineRule="auto"/>
        <w:ind w:left="360"/>
        <w:contextualSpacing w:val="0"/>
        <w:rPr>
          <w:rFonts w:ascii="Arial" w:hAnsi="Arial" w:cs="Arial"/>
          <w:b/>
          <w:bCs/>
        </w:rPr>
      </w:pPr>
      <w:r w:rsidRPr="00485241">
        <w:rPr>
          <w:rFonts w:ascii="Arial" w:hAnsi="Arial" w:cs="Arial"/>
          <w:b/>
          <w:bCs/>
        </w:rPr>
        <w:t xml:space="preserve">Are the financial projections, models, or “pro </w:t>
      </w:r>
      <w:proofErr w:type="spellStart"/>
      <w:r w:rsidRPr="00485241">
        <w:rPr>
          <w:rFonts w:ascii="Arial" w:hAnsi="Arial" w:cs="Arial"/>
          <w:b/>
          <w:bCs/>
        </w:rPr>
        <w:t>formas</w:t>
      </w:r>
      <w:proofErr w:type="spellEnd"/>
      <w:r w:rsidRPr="00485241">
        <w:rPr>
          <w:rFonts w:ascii="Arial" w:hAnsi="Arial" w:cs="Arial"/>
          <w:b/>
          <w:bCs/>
        </w:rPr>
        <w:t>” provided to investors contained in the PPM or other disclosure based on conservative or realistic assumptions?</w:t>
      </w:r>
    </w:p>
    <w:p w14:paraId="5E9AE86E" w14:textId="0CE08B62" w:rsidR="003254AE" w:rsidRDefault="003254AE" w:rsidP="001F3C4F">
      <w:pPr>
        <w:spacing w:line="240" w:lineRule="auto"/>
        <w:ind w:firstLine="630"/>
        <w:rPr>
          <w:rFonts w:ascii="Arial" w:hAnsi="Arial" w:cs="Arial"/>
        </w:rPr>
      </w:pPr>
      <w:r w:rsidRPr="00485241">
        <w:rPr>
          <w:rFonts w:ascii="Arial" w:hAnsi="Arial" w:cs="Arial"/>
        </w:rPr>
        <w:t xml:space="preserve">PPMs and other information provided to prospective investors often </w:t>
      </w:r>
      <w:proofErr w:type="gramStart"/>
      <w:r w:rsidR="00123B4F" w:rsidRPr="00485241">
        <w:rPr>
          <w:rFonts w:ascii="Arial" w:hAnsi="Arial" w:cs="Arial"/>
        </w:rPr>
        <w:t>contain</w:t>
      </w:r>
      <w:proofErr w:type="gramEnd"/>
      <w:r w:rsidRPr="00485241">
        <w:rPr>
          <w:rFonts w:ascii="Arial" w:hAnsi="Arial" w:cs="Arial"/>
        </w:rPr>
        <w:t xml:space="preserve"> financial projections or “pro </w:t>
      </w:r>
      <w:proofErr w:type="spellStart"/>
      <w:r w:rsidRPr="00485241">
        <w:rPr>
          <w:rFonts w:ascii="Arial" w:hAnsi="Arial" w:cs="Arial"/>
        </w:rPr>
        <w:t>formas</w:t>
      </w:r>
      <w:proofErr w:type="spellEnd"/>
      <w:r w:rsidRPr="00485241">
        <w:rPr>
          <w:rFonts w:ascii="Arial" w:hAnsi="Arial" w:cs="Arial"/>
        </w:rPr>
        <w:t xml:space="preserve">” that </w:t>
      </w:r>
      <w:r w:rsidR="001F3C4F" w:rsidRPr="00485241">
        <w:rPr>
          <w:rFonts w:ascii="Arial" w:hAnsi="Arial" w:cs="Arial"/>
        </w:rPr>
        <w:t>claim</w:t>
      </w:r>
      <w:r w:rsidRPr="00485241">
        <w:rPr>
          <w:rFonts w:ascii="Arial" w:hAnsi="Arial" w:cs="Arial"/>
        </w:rPr>
        <w:t xml:space="preserve"> to estimate the </w:t>
      </w:r>
      <w:proofErr w:type="gramStart"/>
      <w:r w:rsidRPr="00485241">
        <w:rPr>
          <w:rFonts w:ascii="Arial" w:hAnsi="Arial" w:cs="Arial"/>
        </w:rPr>
        <w:t>anticipated</w:t>
      </w:r>
      <w:proofErr w:type="gramEnd"/>
      <w:r w:rsidRPr="00485241">
        <w:rPr>
          <w:rFonts w:ascii="Arial" w:hAnsi="Arial" w:cs="Arial"/>
        </w:rPr>
        <w:t xml:space="preserve"> financial performance of the venture.  </w:t>
      </w:r>
      <w:r w:rsidR="00690A38" w:rsidRPr="00485241">
        <w:rPr>
          <w:rFonts w:ascii="Arial" w:hAnsi="Arial" w:cs="Arial"/>
        </w:rPr>
        <w:t>Such</w:t>
      </w:r>
      <w:r w:rsidRPr="00485241">
        <w:rPr>
          <w:rFonts w:ascii="Arial" w:hAnsi="Arial" w:cs="Arial"/>
        </w:rPr>
        <w:t xml:space="preserve"> </w:t>
      </w:r>
      <w:r w:rsidR="00690A38" w:rsidRPr="00485241">
        <w:rPr>
          <w:rFonts w:ascii="Arial" w:hAnsi="Arial" w:cs="Arial"/>
        </w:rPr>
        <w:t xml:space="preserve">financial projections </w:t>
      </w:r>
      <w:r w:rsidRPr="00485241">
        <w:rPr>
          <w:rFonts w:ascii="Arial" w:hAnsi="Arial" w:cs="Arial"/>
        </w:rPr>
        <w:t xml:space="preserve">should be conservative and the assumptions supporting them </w:t>
      </w:r>
      <w:r w:rsidR="00690A38" w:rsidRPr="00485241">
        <w:rPr>
          <w:rFonts w:ascii="Arial" w:hAnsi="Arial" w:cs="Arial"/>
        </w:rPr>
        <w:t xml:space="preserve">should be </w:t>
      </w:r>
      <w:proofErr w:type="gramStart"/>
      <w:r w:rsidR="00690A38" w:rsidRPr="00485241">
        <w:rPr>
          <w:rFonts w:ascii="Arial" w:hAnsi="Arial" w:cs="Arial"/>
        </w:rPr>
        <w:t>disclosed</w:t>
      </w:r>
      <w:proofErr w:type="gramEnd"/>
      <w:r w:rsidR="00690A38" w:rsidRPr="00485241">
        <w:rPr>
          <w:rFonts w:ascii="Arial" w:hAnsi="Arial" w:cs="Arial"/>
        </w:rPr>
        <w:t xml:space="preserve">.  They should </w:t>
      </w:r>
      <w:proofErr w:type="gramStart"/>
      <w:r w:rsidR="00690A38" w:rsidRPr="00485241">
        <w:rPr>
          <w:rFonts w:ascii="Arial" w:hAnsi="Arial" w:cs="Arial"/>
        </w:rPr>
        <w:t>be appropriately caveated</w:t>
      </w:r>
      <w:proofErr w:type="gramEnd"/>
      <w:r w:rsidR="00690A38" w:rsidRPr="00485241">
        <w:rPr>
          <w:rFonts w:ascii="Arial" w:hAnsi="Arial" w:cs="Arial"/>
        </w:rPr>
        <w:t xml:space="preserve"> so investors cannot later claim the projections were misleading.  However, as a lawyer, you may not have the financial skills necessary to evaluate </w:t>
      </w:r>
      <w:r w:rsidR="001F3C4F" w:rsidRPr="00485241">
        <w:rPr>
          <w:rFonts w:ascii="Arial" w:hAnsi="Arial" w:cs="Arial"/>
        </w:rPr>
        <w:t xml:space="preserve">whether </w:t>
      </w:r>
      <w:r w:rsidR="00690A38" w:rsidRPr="00485241">
        <w:rPr>
          <w:rFonts w:ascii="Arial" w:hAnsi="Arial" w:cs="Arial"/>
        </w:rPr>
        <w:t>your client’s financial projections are</w:t>
      </w:r>
      <w:r w:rsidR="001F3C4F" w:rsidRPr="00485241">
        <w:rPr>
          <w:rFonts w:ascii="Arial" w:hAnsi="Arial" w:cs="Arial"/>
        </w:rPr>
        <w:t xml:space="preserve"> realistic</w:t>
      </w:r>
      <w:r w:rsidR="00690A38" w:rsidRPr="00485241">
        <w:rPr>
          <w:rFonts w:ascii="Arial" w:hAnsi="Arial" w:cs="Arial"/>
        </w:rPr>
        <w:t xml:space="preserve">.  Recommend that your client obtain an independent business or financial consultant to examine any financial projections provided to investors. </w:t>
      </w:r>
    </w:p>
    <w:p w14:paraId="3979F6CB" w14:textId="77777777" w:rsidR="00D848A3" w:rsidRDefault="00D848A3" w:rsidP="001F3C4F">
      <w:pPr>
        <w:spacing w:line="240" w:lineRule="auto"/>
        <w:ind w:firstLine="630"/>
        <w:rPr>
          <w:rFonts w:ascii="Arial" w:hAnsi="Arial" w:cs="Arial"/>
        </w:rPr>
      </w:pPr>
    </w:p>
    <w:p w14:paraId="4EF97576" w14:textId="77777777" w:rsidR="00D848A3" w:rsidRDefault="00D848A3" w:rsidP="001F3C4F">
      <w:pPr>
        <w:spacing w:line="240" w:lineRule="auto"/>
        <w:ind w:firstLine="630"/>
        <w:rPr>
          <w:rFonts w:ascii="Arial" w:hAnsi="Arial" w:cs="Arial"/>
        </w:rPr>
      </w:pPr>
    </w:p>
    <w:p w14:paraId="64900566" w14:textId="77777777" w:rsidR="00D848A3" w:rsidRDefault="00D848A3" w:rsidP="001F3C4F">
      <w:pPr>
        <w:spacing w:line="240" w:lineRule="auto"/>
        <w:ind w:firstLine="630"/>
        <w:rPr>
          <w:rFonts w:ascii="Arial" w:hAnsi="Arial" w:cs="Arial"/>
        </w:rPr>
      </w:pPr>
    </w:p>
    <w:p w14:paraId="1E2D9415" w14:textId="77777777" w:rsidR="00D848A3" w:rsidRDefault="00D848A3" w:rsidP="00D848A3">
      <w:pPr>
        <w:spacing w:line="240" w:lineRule="auto"/>
        <w:rPr>
          <w:rFonts w:ascii="Arial" w:hAnsi="Arial" w:cs="Arial"/>
        </w:rPr>
      </w:pPr>
    </w:p>
    <w:p w14:paraId="3026035E" w14:textId="77777777" w:rsidR="00D848A3" w:rsidRDefault="00D848A3" w:rsidP="00D848A3">
      <w:pPr>
        <w:spacing w:line="240" w:lineRule="auto"/>
        <w:rPr>
          <w:rFonts w:ascii="Arial" w:hAnsi="Arial" w:cs="Arial"/>
        </w:rPr>
      </w:pPr>
    </w:p>
    <w:p w14:paraId="234C723F" w14:textId="77777777" w:rsidR="00D848A3" w:rsidRDefault="00D848A3" w:rsidP="00D848A3">
      <w:pPr>
        <w:spacing w:line="240" w:lineRule="auto"/>
        <w:rPr>
          <w:rFonts w:ascii="Arial" w:hAnsi="Arial" w:cs="Arial"/>
        </w:rPr>
      </w:pPr>
    </w:p>
    <w:p w14:paraId="4601A8A1" w14:textId="77777777" w:rsidR="00D848A3" w:rsidRPr="0096002D" w:rsidRDefault="00D848A3" w:rsidP="0096002D">
      <w:pPr>
        <w:spacing w:line="240" w:lineRule="auto"/>
        <w:rPr>
          <w:rFonts w:ascii="Arial" w:hAnsi="Arial" w:cs="Arial"/>
        </w:rPr>
      </w:pPr>
    </w:p>
    <w:p w14:paraId="5D4EEAA9" w14:textId="77777777" w:rsidR="00921A6B" w:rsidRDefault="00921A6B" w:rsidP="00D848A3">
      <w:pPr>
        <w:pStyle w:val="ListParagraph"/>
        <w:spacing w:line="240" w:lineRule="auto"/>
        <w:ind w:left="0"/>
        <w:jc w:val="center"/>
        <w:rPr>
          <w:rFonts w:ascii="Arial" w:hAnsi="Arial" w:cs="Arial"/>
          <w:b/>
          <w:bCs/>
        </w:rPr>
      </w:pPr>
      <w:r w:rsidRPr="0096002D">
        <w:rPr>
          <w:rFonts w:ascii="Arial" w:hAnsi="Arial" w:cs="Arial"/>
          <w:b/>
          <w:bCs/>
        </w:rPr>
        <w:t>IMPORTANT NOTICES</w:t>
      </w:r>
    </w:p>
    <w:p w14:paraId="09952AD3" w14:textId="77777777" w:rsidR="00D848A3" w:rsidRPr="0096002D" w:rsidRDefault="00D848A3" w:rsidP="0096002D">
      <w:pPr>
        <w:pStyle w:val="ListParagraph"/>
        <w:spacing w:line="240" w:lineRule="auto"/>
        <w:ind w:left="0"/>
        <w:jc w:val="center"/>
        <w:rPr>
          <w:rFonts w:ascii="Arial" w:hAnsi="Arial" w:cs="Arial"/>
          <w:b/>
          <w:bCs/>
        </w:rPr>
      </w:pPr>
    </w:p>
    <w:p w14:paraId="3DEBB8FB" w14:textId="146F0C99" w:rsidR="00153E1B" w:rsidRPr="0096002D" w:rsidRDefault="00921A6B" w:rsidP="00D53D0D">
      <w:pPr>
        <w:pStyle w:val="ListParagraph"/>
        <w:spacing w:line="240" w:lineRule="auto"/>
        <w:ind w:left="0"/>
        <w:contextualSpacing w:val="0"/>
        <w:jc w:val="both"/>
        <w:rPr>
          <w:rFonts w:ascii="Arial" w:hAnsi="Arial" w:cs="Arial"/>
        </w:rPr>
      </w:pPr>
      <w:r w:rsidRPr="0096002D">
        <w:rPr>
          <w:rFonts w:ascii="Arial" w:hAnsi="Arial" w:cs="Arial"/>
        </w:rPr>
        <w:t xml:space="preserve">This material </w:t>
      </w:r>
      <w:proofErr w:type="gramStart"/>
      <w:r w:rsidRPr="0096002D">
        <w:rPr>
          <w:rFonts w:ascii="Arial" w:hAnsi="Arial" w:cs="Arial"/>
        </w:rPr>
        <w:t>is provided</w:t>
      </w:r>
      <w:proofErr w:type="gramEnd"/>
      <w:r w:rsidRPr="0096002D">
        <w:rPr>
          <w:rFonts w:ascii="Arial" w:hAnsi="Arial" w:cs="Arial"/>
        </w:rPr>
        <w:t xml:space="preserve"> for informational purposes only and does not </w:t>
      </w:r>
      <w:proofErr w:type="gramStart"/>
      <w:r w:rsidRPr="0096002D">
        <w:rPr>
          <w:rFonts w:ascii="Arial" w:hAnsi="Arial" w:cs="Arial"/>
        </w:rPr>
        <w:t>establish</w:t>
      </w:r>
      <w:proofErr w:type="gramEnd"/>
      <w:r w:rsidRPr="0096002D">
        <w:rPr>
          <w:rFonts w:ascii="Arial" w:hAnsi="Arial" w:cs="Arial"/>
        </w:rPr>
        <w:t xml:space="preserve">, report, or create the standard of care for attorneys in Oregon, nor does it represent a complete analysis of the topics presented. Readers should conduct their own </w:t>
      </w:r>
      <w:proofErr w:type="gramStart"/>
      <w:r w:rsidRPr="0096002D">
        <w:rPr>
          <w:rFonts w:ascii="Arial" w:hAnsi="Arial" w:cs="Arial"/>
        </w:rPr>
        <w:t>appropriate legal</w:t>
      </w:r>
      <w:proofErr w:type="gramEnd"/>
      <w:r w:rsidRPr="0096002D">
        <w:rPr>
          <w:rFonts w:ascii="Arial" w:hAnsi="Arial" w:cs="Arial"/>
        </w:rPr>
        <w:t xml:space="preserve"> research. The information presented does not </w:t>
      </w:r>
      <w:proofErr w:type="gramStart"/>
      <w:r w:rsidRPr="0096002D">
        <w:rPr>
          <w:rFonts w:ascii="Arial" w:hAnsi="Arial" w:cs="Arial"/>
        </w:rPr>
        <w:t>represent</w:t>
      </w:r>
      <w:proofErr w:type="gramEnd"/>
      <w:r w:rsidRPr="0096002D">
        <w:rPr>
          <w:rFonts w:ascii="Arial" w:hAnsi="Arial" w:cs="Arial"/>
        </w:rPr>
        <w:t xml:space="preserve"> legal advice. This information may not </w:t>
      </w:r>
      <w:proofErr w:type="gramStart"/>
      <w:r w:rsidRPr="0096002D">
        <w:rPr>
          <w:rFonts w:ascii="Arial" w:hAnsi="Arial" w:cs="Arial"/>
        </w:rPr>
        <w:t>be republished</w:t>
      </w:r>
      <w:proofErr w:type="gramEnd"/>
      <w:r w:rsidRPr="0096002D">
        <w:rPr>
          <w:rFonts w:ascii="Arial" w:hAnsi="Arial" w:cs="Arial"/>
        </w:rPr>
        <w:t xml:space="preserve">, sold, or used in any other form without the written consent of the Oregon State Bar Professional Liability Fund except that permission </w:t>
      </w:r>
      <w:proofErr w:type="gramStart"/>
      <w:r w:rsidRPr="0096002D">
        <w:rPr>
          <w:rFonts w:ascii="Arial" w:hAnsi="Arial" w:cs="Arial"/>
        </w:rPr>
        <w:t>is granted</w:t>
      </w:r>
      <w:proofErr w:type="gramEnd"/>
      <w:r w:rsidRPr="0096002D">
        <w:rPr>
          <w:rFonts w:ascii="Arial" w:hAnsi="Arial" w:cs="Arial"/>
        </w:rPr>
        <w:t xml:space="preserve"> for Oregon lawyers to use and </w:t>
      </w:r>
      <w:proofErr w:type="gramStart"/>
      <w:r w:rsidRPr="0096002D">
        <w:rPr>
          <w:rFonts w:ascii="Arial" w:hAnsi="Arial" w:cs="Arial"/>
        </w:rPr>
        <w:t>modify</w:t>
      </w:r>
      <w:proofErr w:type="gramEnd"/>
      <w:r w:rsidRPr="0096002D">
        <w:rPr>
          <w:rFonts w:ascii="Arial" w:hAnsi="Arial" w:cs="Arial"/>
        </w:rPr>
        <w:t xml:space="preserve"> these materials for use in their own practices. © </w:t>
      </w:r>
      <w:r w:rsidR="00D848A3" w:rsidRPr="00D848A3">
        <w:rPr>
          <w:rFonts w:ascii="Arial" w:hAnsi="Arial" w:cs="Arial"/>
        </w:rPr>
        <w:t>202</w:t>
      </w:r>
      <w:r w:rsidR="006821B0">
        <w:rPr>
          <w:rFonts w:ascii="Arial" w:hAnsi="Arial" w:cs="Arial"/>
        </w:rPr>
        <w:t>5</w:t>
      </w:r>
      <w:r w:rsidR="00D848A3" w:rsidRPr="0096002D">
        <w:rPr>
          <w:rFonts w:ascii="Arial" w:hAnsi="Arial" w:cs="Arial"/>
        </w:rPr>
        <w:t xml:space="preserve"> </w:t>
      </w:r>
      <w:r w:rsidRPr="0096002D">
        <w:rPr>
          <w:rFonts w:ascii="Arial" w:hAnsi="Arial" w:cs="Arial"/>
        </w:rPr>
        <w:t>OSB Professional Liability Fun</w:t>
      </w:r>
      <w:r w:rsidR="00D848A3" w:rsidRPr="00D848A3">
        <w:rPr>
          <w:rFonts w:ascii="Arial" w:hAnsi="Arial" w:cs="Arial"/>
        </w:rPr>
        <w:t>d</w:t>
      </w:r>
    </w:p>
    <w:sectPr w:rsidR="00153E1B" w:rsidRPr="009600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F0E7" w14:textId="77777777" w:rsidR="00000728" w:rsidRDefault="00000728" w:rsidP="00624E40">
      <w:pPr>
        <w:spacing w:after="0" w:line="240" w:lineRule="auto"/>
      </w:pPr>
      <w:r>
        <w:separator/>
      </w:r>
    </w:p>
  </w:endnote>
  <w:endnote w:type="continuationSeparator" w:id="0">
    <w:p w14:paraId="584D9275" w14:textId="77777777" w:rsidR="00000728" w:rsidRDefault="00000728" w:rsidP="0062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E981" w14:textId="3A802ACE" w:rsidR="00F04EBF" w:rsidRPr="0096002D" w:rsidRDefault="00716137" w:rsidP="00716137">
    <w:pPr>
      <w:pStyle w:val="Footer"/>
      <w:tabs>
        <w:tab w:val="clear" w:pos="4680"/>
        <w:tab w:val="right" w:pos="9180"/>
      </w:tabs>
      <w:rPr>
        <w:rFonts w:ascii="Arial" w:hAnsi="Arial" w:cs="Arial"/>
        <w:sz w:val="16"/>
        <w:szCs w:val="16"/>
      </w:rPr>
    </w:pPr>
    <w:r w:rsidRPr="0096002D">
      <w:rPr>
        <w:rFonts w:ascii="Arial" w:hAnsi="Arial" w:cs="Arial"/>
        <w:sz w:val="16"/>
        <w:szCs w:val="16"/>
      </w:rPr>
      <w:t xml:space="preserve">PROFESSIONAL LIABILITY FUND [REV. </w:t>
    </w:r>
    <w:r w:rsidR="00D848A3">
      <w:rPr>
        <w:rFonts w:ascii="Arial" w:hAnsi="Arial" w:cs="Arial"/>
        <w:sz w:val="16"/>
        <w:szCs w:val="16"/>
      </w:rPr>
      <w:t>1</w:t>
    </w:r>
    <w:r w:rsidR="006821B0">
      <w:rPr>
        <w:rFonts w:ascii="Arial" w:hAnsi="Arial" w:cs="Arial"/>
        <w:sz w:val="16"/>
        <w:szCs w:val="16"/>
      </w:rPr>
      <w:t>0</w:t>
    </w:r>
    <w:r w:rsidRPr="0096002D">
      <w:rPr>
        <w:rFonts w:ascii="Arial" w:hAnsi="Arial" w:cs="Arial"/>
        <w:sz w:val="16"/>
        <w:szCs w:val="16"/>
      </w:rPr>
      <w:t>/</w:t>
    </w:r>
    <w:r w:rsidR="00D848A3">
      <w:rPr>
        <w:rFonts w:ascii="Arial" w:hAnsi="Arial" w:cs="Arial"/>
        <w:sz w:val="16"/>
        <w:szCs w:val="16"/>
      </w:rPr>
      <w:t>202</w:t>
    </w:r>
    <w:r w:rsidR="006821B0">
      <w:rPr>
        <w:rFonts w:ascii="Arial" w:hAnsi="Arial" w:cs="Arial"/>
        <w:sz w:val="16"/>
        <w:szCs w:val="16"/>
      </w:rPr>
      <w:t>5</w:t>
    </w:r>
    <w:r w:rsidRPr="0096002D">
      <w:rPr>
        <w:rFonts w:ascii="Arial" w:hAnsi="Arial" w:cs="Arial"/>
        <w:sz w:val="16"/>
        <w:szCs w:val="16"/>
      </w:rPr>
      <w:t>]</w:t>
    </w:r>
    <w:r w:rsidR="00D848A3">
      <w:rPr>
        <w:rFonts w:ascii="Arial" w:hAnsi="Arial" w:cs="Arial"/>
        <w:sz w:val="16"/>
        <w:szCs w:val="16"/>
      </w:rPr>
      <w:tab/>
    </w:r>
    <w:r w:rsidRPr="0096002D">
      <w:rPr>
        <w:rFonts w:ascii="Arial" w:hAnsi="Arial" w:cs="Arial"/>
        <w:sz w:val="16"/>
        <w:szCs w:val="16"/>
      </w:rPr>
      <w:t xml:space="preserve">Checklist </w:t>
    </w:r>
    <w:r w:rsidR="00823CCC">
      <w:rPr>
        <w:rFonts w:ascii="Arial" w:hAnsi="Arial" w:cs="Arial"/>
        <w:sz w:val="16"/>
        <w:szCs w:val="16"/>
      </w:rPr>
      <w:t>f</w:t>
    </w:r>
    <w:r w:rsidRPr="0096002D">
      <w:rPr>
        <w:rFonts w:ascii="Arial" w:hAnsi="Arial" w:cs="Arial"/>
        <w:sz w:val="16"/>
        <w:szCs w:val="16"/>
      </w:rPr>
      <w:t xml:space="preserve">or </w:t>
    </w:r>
    <w:r w:rsidR="00A66380" w:rsidRPr="0096002D">
      <w:rPr>
        <w:rFonts w:ascii="Arial" w:hAnsi="Arial" w:cs="Arial"/>
        <w:sz w:val="16"/>
        <w:szCs w:val="16"/>
      </w:rPr>
      <w:t>Capital Fundraising</w:t>
    </w:r>
    <w:r w:rsidRPr="0096002D">
      <w:rPr>
        <w:rFonts w:ascii="Arial" w:hAnsi="Arial" w:cs="Arial"/>
        <w:sz w:val="16"/>
        <w:szCs w:val="16"/>
      </w:rPr>
      <w:t xml:space="preserve"> </w:t>
    </w:r>
    <w:r w:rsidR="00823CCC">
      <w:rPr>
        <w:rFonts w:ascii="Arial" w:hAnsi="Arial" w:cs="Arial"/>
        <w:sz w:val="16"/>
        <w:szCs w:val="16"/>
      </w:rPr>
      <w:t xml:space="preserve">or </w:t>
    </w:r>
    <w:r w:rsidRPr="0096002D">
      <w:rPr>
        <w:rFonts w:ascii="Arial" w:hAnsi="Arial" w:cs="Arial"/>
        <w:sz w:val="16"/>
        <w:szCs w:val="16"/>
      </w:rPr>
      <w:t>Private Securities Offering</w:t>
    </w:r>
    <w:r w:rsidR="00D848A3">
      <w:rPr>
        <w:rFonts w:ascii="Arial" w:hAnsi="Arial" w:cs="Arial"/>
        <w:sz w:val="16"/>
        <w:szCs w:val="16"/>
      </w:rPr>
      <w:t>s</w:t>
    </w:r>
    <w:r w:rsidRPr="0096002D">
      <w:rPr>
        <w:rFonts w:ascii="Arial" w:hAnsi="Arial" w:cs="Arial"/>
        <w:sz w:val="16"/>
        <w:szCs w:val="16"/>
      </w:rPr>
      <w:t xml:space="preserve"> – Page </w:t>
    </w:r>
    <w:r w:rsidRPr="0096002D">
      <w:rPr>
        <w:rFonts w:ascii="Arial" w:hAnsi="Arial" w:cs="Arial"/>
        <w:sz w:val="16"/>
        <w:szCs w:val="16"/>
      </w:rPr>
      <w:fldChar w:fldCharType="begin"/>
    </w:r>
    <w:r w:rsidRPr="0096002D">
      <w:rPr>
        <w:rFonts w:ascii="Arial" w:hAnsi="Arial" w:cs="Arial"/>
        <w:sz w:val="16"/>
        <w:szCs w:val="16"/>
      </w:rPr>
      <w:instrText xml:space="preserve"> PAGE   \* MERGEFORMAT </w:instrText>
    </w:r>
    <w:r w:rsidRPr="0096002D">
      <w:rPr>
        <w:rFonts w:ascii="Arial" w:hAnsi="Arial" w:cs="Arial"/>
        <w:sz w:val="16"/>
        <w:szCs w:val="16"/>
      </w:rPr>
      <w:fldChar w:fldCharType="separate"/>
    </w:r>
    <w:r w:rsidRPr="0096002D">
      <w:rPr>
        <w:rFonts w:ascii="Arial" w:hAnsi="Arial" w:cs="Arial"/>
        <w:noProof/>
        <w:sz w:val="16"/>
        <w:szCs w:val="16"/>
      </w:rPr>
      <w:t>1</w:t>
    </w:r>
    <w:r w:rsidRPr="0096002D">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03C5" w14:textId="77777777" w:rsidR="00000728" w:rsidRDefault="00000728" w:rsidP="00624E40">
      <w:pPr>
        <w:spacing w:after="0" w:line="240" w:lineRule="auto"/>
      </w:pPr>
      <w:r>
        <w:separator/>
      </w:r>
    </w:p>
  </w:footnote>
  <w:footnote w:type="continuationSeparator" w:id="0">
    <w:p w14:paraId="762AAAF4" w14:textId="77777777" w:rsidR="00000728" w:rsidRDefault="00000728" w:rsidP="0062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3342" w14:textId="588C350D" w:rsidR="00D848A3" w:rsidRDefault="00D848A3" w:rsidP="00D848A3">
    <w:pPr>
      <w:spacing w:after="0"/>
      <w:jc w:val="center"/>
      <w:rPr>
        <w:rFonts w:ascii="Arial" w:hAnsi="Arial" w:cs="Arial"/>
        <w:b/>
        <w:bCs/>
        <w:sz w:val="24"/>
        <w:szCs w:val="24"/>
      </w:rPr>
    </w:pPr>
    <w:r w:rsidRPr="0096002D">
      <w:rPr>
        <w:rFonts w:ascii="Arial" w:hAnsi="Arial" w:cs="Arial"/>
        <w:b/>
        <w:bCs/>
        <w:sz w:val="24"/>
        <w:szCs w:val="24"/>
      </w:rPr>
      <w:t>CHECKLIST FOR CAPITAL FUNDRAIS</w:t>
    </w:r>
    <w:r>
      <w:rPr>
        <w:rFonts w:ascii="Arial" w:hAnsi="Arial" w:cs="Arial"/>
        <w:b/>
        <w:bCs/>
        <w:sz w:val="24"/>
        <w:szCs w:val="24"/>
      </w:rPr>
      <w:t>I</w:t>
    </w:r>
    <w:r w:rsidRPr="0096002D">
      <w:rPr>
        <w:rFonts w:ascii="Arial" w:hAnsi="Arial" w:cs="Arial"/>
        <w:b/>
        <w:bCs/>
        <w:sz w:val="24"/>
        <w:szCs w:val="24"/>
      </w:rPr>
      <w:t>NG OR PRIVATE</w:t>
    </w:r>
  </w:p>
  <w:p w14:paraId="151E87DC" w14:textId="6BCBA8D3" w:rsidR="00D848A3" w:rsidRPr="0096002D" w:rsidRDefault="00D848A3" w:rsidP="00D848A3">
    <w:pPr>
      <w:spacing w:after="0"/>
      <w:jc w:val="center"/>
      <w:rPr>
        <w:rFonts w:ascii="Arial" w:hAnsi="Arial" w:cs="Arial"/>
        <w:b/>
        <w:bCs/>
        <w:sz w:val="24"/>
        <w:szCs w:val="24"/>
      </w:rPr>
    </w:pPr>
    <w:r w:rsidRPr="0096002D">
      <w:rPr>
        <w:rFonts w:ascii="Arial" w:hAnsi="Arial" w:cs="Arial"/>
        <w:b/>
        <w:bCs/>
        <w:sz w:val="24"/>
        <w:szCs w:val="24"/>
      </w:rPr>
      <w:t xml:space="preserve"> SECURITIES OFFERINGS IN OREGON</w:t>
    </w:r>
  </w:p>
  <w:p w14:paraId="4B789230" w14:textId="77777777" w:rsidR="00D848A3" w:rsidRDefault="00D84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DBB"/>
    <w:multiLevelType w:val="hybridMultilevel"/>
    <w:tmpl w:val="901291D2"/>
    <w:lvl w:ilvl="0" w:tplc="EA4AD038">
      <w:numFmt w:val="bullet"/>
      <w:lvlText w:val="-"/>
      <w:lvlJc w:val="left"/>
      <w:pPr>
        <w:ind w:left="4368" w:hanging="360"/>
      </w:pPr>
      <w:rPr>
        <w:rFonts w:ascii="Times New Roman" w:eastAsiaTheme="minorHAnsi" w:hAnsi="Times New Roman" w:cs="Times New Roman" w:hint="default"/>
      </w:rPr>
    </w:lvl>
    <w:lvl w:ilvl="1" w:tplc="04090003" w:tentative="1">
      <w:start w:val="1"/>
      <w:numFmt w:val="bullet"/>
      <w:lvlText w:val="o"/>
      <w:lvlJc w:val="left"/>
      <w:pPr>
        <w:ind w:left="5088" w:hanging="360"/>
      </w:pPr>
      <w:rPr>
        <w:rFonts w:ascii="Courier New" w:hAnsi="Courier New" w:cs="Courier New" w:hint="default"/>
      </w:rPr>
    </w:lvl>
    <w:lvl w:ilvl="2" w:tplc="04090005" w:tentative="1">
      <w:start w:val="1"/>
      <w:numFmt w:val="bullet"/>
      <w:lvlText w:val=""/>
      <w:lvlJc w:val="left"/>
      <w:pPr>
        <w:ind w:left="5808" w:hanging="360"/>
      </w:pPr>
      <w:rPr>
        <w:rFonts w:ascii="Wingdings" w:hAnsi="Wingdings" w:hint="default"/>
      </w:rPr>
    </w:lvl>
    <w:lvl w:ilvl="3" w:tplc="04090001" w:tentative="1">
      <w:start w:val="1"/>
      <w:numFmt w:val="bullet"/>
      <w:lvlText w:val=""/>
      <w:lvlJc w:val="left"/>
      <w:pPr>
        <w:ind w:left="6528" w:hanging="360"/>
      </w:pPr>
      <w:rPr>
        <w:rFonts w:ascii="Symbol" w:hAnsi="Symbol" w:hint="default"/>
      </w:rPr>
    </w:lvl>
    <w:lvl w:ilvl="4" w:tplc="04090003" w:tentative="1">
      <w:start w:val="1"/>
      <w:numFmt w:val="bullet"/>
      <w:lvlText w:val="o"/>
      <w:lvlJc w:val="left"/>
      <w:pPr>
        <w:ind w:left="7248" w:hanging="360"/>
      </w:pPr>
      <w:rPr>
        <w:rFonts w:ascii="Courier New" w:hAnsi="Courier New" w:cs="Courier New" w:hint="default"/>
      </w:rPr>
    </w:lvl>
    <w:lvl w:ilvl="5" w:tplc="04090005" w:tentative="1">
      <w:start w:val="1"/>
      <w:numFmt w:val="bullet"/>
      <w:lvlText w:val=""/>
      <w:lvlJc w:val="left"/>
      <w:pPr>
        <w:ind w:left="7968" w:hanging="360"/>
      </w:pPr>
      <w:rPr>
        <w:rFonts w:ascii="Wingdings" w:hAnsi="Wingdings" w:hint="default"/>
      </w:rPr>
    </w:lvl>
    <w:lvl w:ilvl="6" w:tplc="04090001" w:tentative="1">
      <w:start w:val="1"/>
      <w:numFmt w:val="bullet"/>
      <w:lvlText w:val=""/>
      <w:lvlJc w:val="left"/>
      <w:pPr>
        <w:ind w:left="8688" w:hanging="360"/>
      </w:pPr>
      <w:rPr>
        <w:rFonts w:ascii="Symbol" w:hAnsi="Symbol" w:hint="default"/>
      </w:rPr>
    </w:lvl>
    <w:lvl w:ilvl="7" w:tplc="04090003" w:tentative="1">
      <w:start w:val="1"/>
      <w:numFmt w:val="bullet"/>
      <w:lvlText w:val="o"/>
      <w:lvlJc w:val="left"/>
      <w:pPr>
        <w:ind w:left="9408" w:hanging="360"/>
      </w:pPr>
      <w:rPr>
        <w:rFonts w:ascii="Courier New" w:hAnsi="Courier New" w:cs="Courier New" w:hint="default"/>
      </w:rPr>
    </w:lvl>
    <w:lvl w:ilvl="8" w:tplc="04090005" w:tentative="1">
      <w:start w:val="1"/>
      <w:numFmt w:val="bullet"/>
      <w:lvlText w:val=""/>
      <w:lvlJc w:val="left"/>
      <w:pPr>
        <w:ind w:left="10128" w:hanging="360"/>
      </w:pPr>
      <w:rPr>
        <w:rFonts w:ascii="Wingdings" w:hAnsi="Wingdings" w:hint="default"/>
      </w:rPr>
    </w:lvl>
  </w:abstractNum>
  <w:abstractNum w:abstractNumId="1" w15:restartNumberingAfterBreak="0">
    <w:nsid w:val="5E8727B3"/>
    <w:multiLevelType w:val="hybridMultilevel"/>
    <w:tmpl w:val="BEB25806"/>
    <w:lvl w:ilvl="0" w:tplc="5E00C038">
      <w:start w:val="1"/>
      <w:numFmt w:val="decimal"/>
      <w:lvlText w:val="%1."/>
      <w:lvlJc w:val="left"/>
      <w:pPr>
        <w:ind w:left="-720" w:hanging="360"/>
      </w:pPr>
      <w:rPr>
        <w:rFonts w:hint="default"/>
        <w:b/>
        <w:bCs/>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16cid:durableId="974486928">
    <w:abstractNumId w:val="1"/>
  </w:num>
  <w:num w:numId="2" w16cid:durableId="162746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9"/>
    <w:rsid w:val="00000728"/>
    <w:rsid w:val="000139CD"/>
    <w:rsid w:val="0001656E"/>
    <w:rsid w:val="0003241B"/>
    <w:rsid w:val="00035B58"/>
    <w:rsid w:val="00063E52"/>
    <w:rsid w:val="001101A0"/>
    <w:rsid w:val="0011737C"/>
    <w:rsid w:val="00123A4C"/>
    <w:rsid w:val="00123B4F"/>
    <w:rsid w:val="001240A9"/>
    <w:rsid w:val="00153E1B"/>
    <w:rsid w:val="00160A92"/>
    <w:rsid w:val="00167F76"/>
    <w:rsid w:val="001750C3"/>
    <w:rsid w:val="00176165"/>
    <w:rsid w:val="001F3C4F"/>
    <w:rsid w:val="00233213"/>
    <w:rsid w:val="00255FF9"/>
    <w:rsid w:val="00257381"/>
    <w:rsid w:val="00275224"/>
    <w:rsid w:val="002A1510"/>
    <w:rsid w:val="002C4094"/>
    <w:rsid w:val="002D0FAA"/>
    <w:rsid w:val="002F093F"/>
    <w:rsid w:val="002F5E04"/>
    <w:rsid w:val="002F7140"/>
    <w:rsid w:val="003254AE"/>
    <w:rsid w:val="00391010"/>
    <w:rsid w:val="003A115A"/>
    <w:rsid w:val="003A5F8C"/>
    <w:rsid w:val="00485241"/>
    <w:rsid w:val="004F6F02"/>
    <w:rsid w:val="00543057"/>
    <w:rsid w:val="005925F8"/>
    <w:rsid w:val="005C247D"/>
    <w:rsid w:val="005C2B19"/>
    <w:rsid w:val="005C3658"/>
    <w:rsid w:val="005E76C9"/>
    <w:rsid w:val="005F67AC"/>
    <w:rsid w:val="006178F9"/>
    <w:rsid w:val="00624E40"/>
    <w:rsid w:val="00656E2F"/>
    <w:rsid w:val="0067027C"/>
    <w:rsid w:val="006708AA"/>
    <w:rsid w:val="006821B0"/>
    <w:rsid w:val="00690A38"/>
    <w:rsid w:val="006976B3"/>
    <w:rsid w:val="00697908"/>
    <w:rsid w:val="006B08A1"/>
    <w:rsid w:val="006B45B1"/>
    <w:rsid w:val="006C2E8B"/>
    <w:rsid w:val="00716137"/>
    <w:rsid w:val="00724634"/>
    <w:rsid w:val="00807D37"/>
    <w:rsid w:val="00823511"/>
    <w:rsid w:val="00823CCC"/>
    <w:rsid w:val="00891CCE"/>
    <w:rsid w:val="008A3821"/>
    <w:rsid w:val="00921A6B"/>
    <w:rsid w:val="00934A24"/>
    <w:rsid w:val="009445D3"/>
    <w:rsid w:val="0096002D"/>
    <w:rsid w:val="00982B03"/>
    <w:rsid w:val="00983945"/>
    <w:rsid w:val="00992FD9"/>
    <w:rsid w:val="00A02FC8"/>
    <w:rsid w:val="00A66380"/>
    <w:rsid w:val="00AB56CD"/>
    <w:rsid w:val="00AD036B"/>
    <w:rsid w:val="00AE6A96"/>
    <w:rsid w:val="00B67200"/>
    <w:rsid w:val="00BA707D"/>
    <w:rsid w:val="00BC07EE"/>
    <w:rsid w:val="00C24706"/>
    <w:rsid w:val="00C40CD5"/>
    <w:rsid w:val="00C8574D"/>
    <w:rsid w:val="00C95D2E"/>
    <w:rsid w:val="00CA1911"/>
    <w:rsid w:val="00CF604F"/>
    <w:rsid w:val="00D00E00"/>
    <w:rsid w:val="00D17F2E"/>
    <w:rsid w:val="00D53D0D"/>
    <w:rsid w:val="00D848A3"/>
    <w:rsid w:val="00E446BB"/>
    <w:rsid w:val="00E7375E"/>
    <w:rsid w:val="00E76403"/>
    <w:rsid w:val="00E8781B"/>
    <w:rsid w:val="00F04EBF"/>
    <w:rsid w:val="00F155E6"/>
    <w:rsid w:val="00F54DF3"/>
    <w:rsid w:val="00F935D5"/>
    <w:rsid w:val="00FB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10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76C9"/>
    <w:pPr>
      <w:ind w:left="720"/>
      <w:contextualSpacing/>
    </w:pPr>
  </w:style>
  <w:style w:type="paragraph" w:customStyle="1" w:styleId="DocID">
    <w:name w:val="DocID"/>
    <w:basedOn w:val="Footer"/>
    <w:next w:val="Footer"/>
    <w:link w:val="DocIDChar"/>
    <w:rsid w:val="00624E40"/>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ListParagraphChar">
    <w:name w:val="List Paragraph Char"/>
    <w:basedOn w:val="DefaultParagraphFont"/>
    <w:link w:val="ListParagraph"/>
    <w:uiPriority w:val="34"/>
    <w:rsid w:val="00624E40"/>
  </w:style>
  <w:style w:type="character" w:customStyle="1" w:styleId="DocIDChar">
    <w:name w:val="DocID Char"/>
    <w:basedOn w:val="ListParagraphChar"/>
    <w:link w:val="DocID"/>
    <w:rsid w:val="00624E4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62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E40"/>
  </w:style>
  <w:style w:type="paragraph" w:styleId="Header">
    <w:name w:val="header"/>
    <w:basedOn w:val="Normal"/>
    <w:link w:val="HeaderChar"/>
    <w:uiPriority w:val="99"/>
    <w:unhideWhenUsed/>
    <w:rsid w:val="0062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E40"/>
  </w:style>
  <w:style w:type="paragraph" w:styleId="Revision">
    <w:name w:val="Revision"/>
    <w:hidden/>
    <w:uiPriority w:val="99"/>
    <w:semiHidden/>
    <w:rsid w:val="00A02FC8"/>
    <w:pPr>
      <w:spacing w:after="0" w:line="240" w:lineRule="auto"/>
    </w:pPr>
  </w:style>
  <w:style w:type="paragraph" w:customStyle="1" w:styleId="Default">
    <w:name w:val="Default"/>
    <w:rsid w:val="00A02FC8"/>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992FD9"/>
    <w:rPr>
      <w:color w:val="0563C1" w:themeColor="hyperlink"/>
      <w:u w:val="single"/>
    </w:rPr>
  </w:style>
  <w:style w:type="character" w:styleId="UnresolvedMention">
    <w:name w:val="Unresolved Mention"/>
    <w:basedOn w:val="DefaultParagraphFont"/>
    <w:uiPriority w:val="99"/>
    <w:semiHidden/>
    <w:unhideWhenUsed/>
    <w:rsid w:val="00992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rokercheck.finra.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59B5D-2C35-430B-858B-C350F149B3F6}"/>
</file>

<file path=customXml/itemProps2.xml><?xml version="1.0" encoding="utf-8"?>
<ds:datastoreItem xmlns:ds="http://schemas.openxmlformats.org/officeDocument/2006/customXml" ds:itemID="{FFD0FB3E-862D-49B0-B1EC-7603959E7DDE}"/>
</file>

<file path=customXml/itemProps3.xml><?xml version="1.0" encoding="utf-8"?>
<ds:datastoreItem xmlns:ds="http://schemas.openxmlformats.org/officeDocument/2006/customXml" ds:itemID="{6266BD04-563A-407E-910E-FF5890346BD4}"/>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8475</Characters>
  <Application>Microsoft Office Word</Application>
  <DocSecurity>0</DocSecurity>
  <Lines>130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2025-10-26T22:46:00Z</dcterms:created>
  <dcterms:modified xsi:type="dcterms:W3CDTF">2025-10-26T22:46:00Z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