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5180B" w14:textId="4AEECECC" w:rsidR="00F55537" w:rsidRPr="005A4A7A" w:rsidRDefault="00B943B6" w:rsidP="00B943B6">
      <w:pPr>
        <w:tabs>
          <w:tab w:val="left" w:pos="-720"/>
        </w:tabs>
        <w:suppressAutoHyphens/>
        <w:spacing w:after="120" w:line="240" w:lineRule="exact"/>
        <w:rPr>
          <w:rFonts w:ascii="Arial" w:hAnsi="Arial" w:cs="Arial"/>
          <w:sz w:val="22"/>
          <w:szCs w:val="22"/>
        </w:rPr>
      </w:pPr>
      <w:r w:rsidRPr="005A4A7A">
        <w:rPr>
          <w:rFonts w:ascii="Arial" w:hAnsi="Arial" w:cs="Arial"/>
          <w:sz w:val="22"/>
          <w:szCs w:val="22"/>
        </w:rPr>
        <w:tab/>
      </w:r>
      <w:r w:rsidR="00F55537" w:rsidRPr="005A4A7A">
        <w:rPr>
          <w:rFonts w:ascii="Arial" w:hAnsi="Arial" w:cs="Arial"/>
          <w:sz w:val="22"/>
          <w:szCs w:val="22"/>
        </w:rPr>
        <w:t>The following points are items to consider when handling a business sale. Please note, however, that the enumerated points are not necessarily in order of importance to any particular transaction or the sequence they might arise in practice.</w:t>
      </w:r>
    </w:p>
    <w:p w14:paraId="2B22C96C" w14:textId="78CDCDDA" w:rsidR="00D93CC8" w:rsidRPr="005A4A7A" w:rsidRDefault="00D93CC8" w:rsidP="0024325A">
      <w:pPr>
        <w:numPr>
          <w:ilvl w:val="0"/>
          <w:numId w:val="10"/>
        </w:numPr>
        <w:tabs>
          <w:tab w:val="left" w:pos="-720"/>
          <w:tab w:val="left" w:pos="0"/>
        </w:tabs>
        <w:suppressAutoHyphens/>
        <w:spacing w:after="120" w:line="240" w:lineRule="exact"/>
        <w:ind w:left="360"/>
        <w:rPr>
          <w:rFonts w:ascii="Arial" w:hAnsi="Arial" w:cs="Arial"/>
          <w:spacing w:val="-2"/>
          <w:sz w:val="22"/>
          <w:szCs w:val="22"/>
        </w:rPr>
      </w:pPr>
      <w:r w:rsidRPr="005A4A7A">
        <w:rPr>
          <w:rFonts w:ascii="Arial" w:hAnsi="Arial" w:cs="Arial"/>
          <w:spacing w:val="-2"/>
          <w:sz w:val="22"/>
          <w:szCs w:val="22"/>
        </w:rPr>
        <w:t>Avoid becoming involved as an attorney where you have any kind of interest in the transaction.</w:t>
      </w:r>
      <w:r w:rsidR="00163FE1" w:rsidRPr="005A4A7A">
        <w:rPr>
          <w:rFonts w:ascii="Arial" w:hAnsi="Arial" w:cs="Arial"/>
          <w:spacing w:val="-2"/>
          <w:sz w:val="22"/>
          <w:szCs w:val="22"/>
        </w:rPr>
        <w:t xml:space="preserve"> </w:t>
      </w:r>
      <w:r w:rsidRPr="005A4A7A">
        <w:rPr>
          <w:rFonts w:ascii="Arial" w:hAnsi="Arial" w:cs="Arial"/>
          <w:spacing w:val="-2"/>
          <w:sz w:val="22"/>
          <w:szCs w:val="22"/>
        </w:rPr>
        <w:t>(</w:t>
      </w:r>
      <w:r w:rsidRPr="005A4A7A">
        <w:rPr>
          <w:rFonts w:ascii="Arial" w:hAnsi="Arial" w:cs="Arial"/>
          <w:i/>
          <w:spacing w:val="-2"/>
          <w:sz w:val="22"/>
          <w:szCs w:val="22"/>
        </w:rPr>
        <w:t>See</w:t>
      </w:r>
      <w:r w:rsidRPr="005A4A7A">
        <w:rPr>
          <w:rFonts w:ascii="Arial" w:hAnsi="Arial" w:cs="Arial"/>
          <w:spacing w:val="-2"/>
          <w:sz w:val="22"/>
          <w:szCs w:val="22"/>
        </w:rPr>
        <w:t xml:space="preserve"> ORPC 1.8 and Exclusion 8 of the PLF Coverage Plan</w:t>
      </w:r>
      <w:r w:rsidR="003640DC">
        <w:rPr>
          <w:rFonts w:ascii="Arial" w:hAnsi="Arial" w:cs="Arial"/>
          <w:spacing w:val="-2"/>
          <w:sz w:val="22"/>
          <w:szCs w:val="22"/>
        </w:rPr>
        <w:t>).</w:t>
      </w:r>
    </w:p>
    <w:p w14:paraId="42DE37AB" w14:textId="094C19D6" w:rsidR="00BC5B8F" w:rsidRPr="005A4A7A" w:rsidRDefault="002159AC" w:rsidP="007F599D">
      <w:pPr>
        <w:numPr>
          <w:ilvl w:val="0"/>
          <w:numId w:val="10"/>
        </w:numPr>
        <w:tabs>
          <w:tab w:val="left" w:pos="-720"/>
        </w:tabs>
        <w:suppressAutoHyphens/>
        <w:spacing w:after="120" w:line="240" w:lineRule="exact"/>
        <w:ind w:left="360"/>
        <w:rPr>
          <w:rFonts w:ascii="Arial" w:hAnsi="Arial" w:cs="Arial"/>
          <w:spacing w:val="-2"/>
          <w:sz w:val="22"/>
          <w:szCs w:val="22"/>
        </w:rPr>
      </w:pPr>
      <w:proofErr w:type="gramStart"/>
      <w:r w:rsidRPr="005A4A7A">
        <w:rPr>
          <w:rFonts w:ascii="Arial" w:hAnsi="Arial" w:cs="Arial"/>
          <w:spacing w:val="-2"/>
          <w:sz w:val="22"/>
          <w:szCs w:val="22"/>
        </w:rPr>
        <w:t>Determine</w:t>
      </w:r>
      <w:proofErr w:type="gramEnd"/>
      <w:r w:rsidRPr="005A4A7A">
        <w:rPr>
          <w:rFonts w:ascii="Arial" w:hAnsi="Arial" w:cs="Arial"/>
          <w:spacing w:val="-2"/>
          <w:sz w:val="22"/>
          <w:szCs w:val="22"/>
        </w:rPr>
        <w:t xml:space="preserve"> and make</w:t>
      </w:r>
      <w:r w:rsidR="00BC5B8F" w:rsidRPr="005A4A7A">
        <w:rPr>
          <w:rFonts w:ascii="Arial" w:hAnsi="Arial" w:cs="Arial"/>
          <w:spacing w:val="-2"/>
          <w:sz w:val="22"/>
          <w:szCs w:val="22"/>
        </w:rPr>
        <w:t xml:space="preserve"> absolutely clear who you are </w:t>
      </w:r>
      <w:proofErr w:type="gramStart"/>
      <w:r w:rsidR="00BC5B8F" w:rsidRPr="005A4A7A">
        <w:rPr>
          <w:rFonts w:ascii="Arial" w:hAnsi="Arial" w:cs="Arial"/>
          <w:spacing w:val="-2"/>
          <w:sz w:val="22"/>
          <w:szCs w:val="22"/>
        </w:rPr>
        <w:t>representing</w:t>
      </w:r>
      <w:proofErr w:type="gramEnd"/>
      <w:r w:rsidR="00BC5B8F" w:rsidRPr="005A4A7A">
        <w:rPr>
          <w:rFonts w:ascii="Arial" w:hAnsi="Arial" w:cs="Arial"/>
          <w:spacing w:val="-2"/>
          <w:sz w:val="22"/>
          <w:szCs w:val="22"/>
        </w:rPr>
        <w:t xml:space="preserve"> – who is your client and who is not</w:t>
      </w:r>
      <w:r w:rsidRPr="005A4A7A">
        <w:rPr>
          <w:rFonts w:ascii="Arial" w:hAnsi="Arial" w:cs="Arial"/>
          <w:spacing w:val="-2"/>
          <w:sz w:val="22"/>
          <w:szCs w:val="22"/>
        </w:rPr>
        <w:t xml:space="preserve">. </w:t>
      </w:r>
      <w:proofErr w:type="gramStart"/>
      <w:r w:rsidRPr="005A4A7A">
        <w:rPr>
          <w:rFonts w:ascii="Arial" w:hAnsi="Arial" w:cs="Arial"/>
          <w:spacing w:val="-2"/>
          <w:sz w:val="22"/>
          <w:szCs w:val="22"/>
        </w:rPr>
        <w:t>Closely</w:t>
      </w:r>
      <w:r w:rsidR="00CD66D1">
        <w:rPr>
          <w:rFonts w:ascii="Arial" w:hAnsi="Arial" w:cs="Arial"/>
          <w:spacing w:val="-2"/>
          <w:sz w:val="22"/>
          <w:szCs w:val="22"/>
        </w:rPr>
        <w:t>-</w:t>
      </w:r>
      <w:r w:rsidRPr="005A4A7A">
        <w:rPr>
          <w:rFonts w:ascii="Arial" w:hAnsi="Arial" w:cs="Arial"/>
          <w:spacing w:val="-2"/>
          <w:sz w:val="22"/>
          <w:szCs w:val="22"/>
        </w:rPr>
        <w:t>held</w:t>
      </w:r>
      <w:proofErr w:type="gramEnd"/>
      <w:r w:rsidRPr="005A4A7A">
        <w:rPr>
          <w:rFonts w:ascii="Arial" w:hAnsi="Arial" w:cs="Arial"/>
          <w:spacing w:val="-2"/>
          <w:sz w:val="22"/>
          <w:szCs w:val="22"/>
        </w:rPr>
        <w:t xml:space="preserve"> companies with multiple shareholders/members can present scope of representation issues unless the representation </w:t>
      </w:r>
      <w:proofErr w:type="gramStart"/>
      <w:r w:rsidRPr="005A4A7A">
        <w:rPr>
          <w:rFonts w:ascii="Arial" w:hAnsi="Arial" w:cs="Arial"/>
          <w:spacing w:val="-2"/>
          <w:sz w:val="22"/>
          <w:szCs w:val="22"/>
        </w:rPr>
        <w:t>is made</w:t>
      </w:r>
      <w:proofErr w:type="gramEnd"/>
      <w:r w:rsidRPr="005A4A7A">
        <w:rPr>
          <w:rFonts w:ascii="Arial" w:hAnsi="Arial" w:cs="Arial"/>
          <w:spacing w:val="-2"/>
          <w:sz w:val="22"/>
          <w:szCs w:val="22"/>
        </w:rPr>
        <w:t xml:space="preserve"> clear from the outset.</w:t>
      </w:r>
      <w:r w:rsidR="00163FE1" w:rsidRPr="005A4A7A">
        <w:rPr>
          <w:rFonts w:ascii="Arial" w:hAnsi="Arial" w:cs="Arial"/>
          <w:spacing w:val="-2"/>
          <w:sz w:val="22"/>
          <w:szCs w:val="22"/>
        </w:rPr>
        <w:t xml:space="preserve"> </w:t>
      </w:r>
      <w:r w:rsidR="00BC5B8F" w:rsidRPr="005A4A7A">
        <w:rPr>
          <w:rFonts w:ascii="Arial" w:hAnsi="Arial" w:cs="Arial"/>
          <w:spacing w:val="-2"/>
          <w:sz w:val="22"/>
          <w:szCs w:val="22"/>
        </w:rPr>
        <w:t>Document your representation in writing</w:t>
      </w:r>
      <w:r w:rsidR="00F6465E" w:rsidRPr="005A4A7A">
        <w:rPr>
          <w:rFonts w:ascii="Arial" w:hAnsi="Arial" w:cs="Arial"/>
          <w:spacing w:val="-2"/>
          <w:sz w:val="22"/>
          <w:szCs w:val="22"/>
        </w:rPr>
        <w:t>, both in an engagement letter</w:t>
      </w:r>
      <w:r w:rsidRPr="005A4A7A">
        <w:rPr>
          <w:rFonts w:ascii="Arial" w:hAnsi="Arial" w:cs="Arial"/>
          <w:spacing w:val="-2"/>
          <w:sz w:val="22"/>
          <w:szCs w:val="22"/>
        </w:rPr>
        <w:t xml:space="preserve"> and in correspondence</w:t>
      </w:r>
      <w:r w:rsidR="00F6465E" w:rsidRPr="005A4A7A">
        <w:rPr>
          <w:rFonts w:ascii="Arial" w:hAnsi="Arial" w:cs="Arial"/>
          <w:spacing w:val="-2"/>
          <w:sz w:val="22"/>
          <w:szCs w:val="22"/>
        </w:rPr>
        <w:t xml:space="preserve"> where </w:t>
      </w:r>
      <w:proofErr w:type="gramStart"/>
      <w:r w:rsidR="00F6465E" w:rsidRPr="005A4A7A">
        <w:rPr>
          <w:rFonts w:ascii="Arial" w:hAnsi="Arial" w:cs="Arial"/>
          <w:spacing w:val="-2"/>
          <w:sz w:val="22"/>
          <w:szCs w:val="22"/>
        </w:rPr>
        <w:t>appropriate</w:t>
      </w:r>
      <w:proofErr w:type="gramEnd"/>
      <w:r w:rsidR="00BC5B8F" w:rsidRPr="005A4A7A">
        <w:rPr>
          <w:rFonts w:ascii="Arial" w:hAnsi="Arial" w:cs="Arial"/>
          <w:spacing w:val="-2"/>
          <w:sz w:val="22"/>
          <w:szCs w:val="22"/>
        </w:rPr>
        <w:t>.</w:t>
      </w:r>
    </w:p>
    <w:p w14:paraId="39B6F0CD" w14:textId="1AB369DE" w:rsidR="003F350E" w:rsidRPr="005A4A7A" w:rsidRDefault="00993E8A" w:rsidP="007F599D">
      <w:pPr>
        <w:numPr>
          <w:ilvl w:val="0"/>
          <w:numId w:val="10"/>
        </w:numPr>
        <w:tabs>
          <w:tab w:val="left" w:pos="-720"/>
          <w:tab w:val="left" w:pos="0"/>
        </w:tabs>
        <w:suppressAutoHyphens/>
        <w:spacing w:after="120" w:line="240" w:lineRule="exact"/>
        <w:ind w:left="360"/>
        <w:rPr>
          <w:rFonts w:ascii="Arial" w:hAnsi="Arial" w:cs="Arial"/>
          <w:spacing w:val="-2"/>
          <w:sz w:val="22"/>
          <w:szCs w:val="22"/>
        </w:rPr>
      </w:pPr>
      <w:r>
        <w:rPr>
          <w:rFonts w:ascii="Arial" w:hAnsi="Arial" w:cs="Arial"/>
          <w:spacing w:val="-2"/>
          <w:sz w:val="22"/>
          <w:szCs w:val="22"/>
        </w:rPr>
        <w:t>Do not give</w:t>
      </w:r>
      <w:r w:rsidR="003F350E" w:rsidRPr="005A4A7A">
        <w:rPr>
          <w:rFonts w:ascii="Arial" w:hAnsi="Arial" w:cs="Arial"/>
          <w:spacing w:val="-2"/>
          <w:sz w:val="22"/>
          <w:szCs w:val="22"/>
        </w:rPr>
        <w:t xml:space="preserve"> legal advice (or even detailed information that could </w:t>
      </w:r>
      <w:proofErr w:type="gramStart"/>
      <w:r w:rsidR="003F350E" w:rsidRPr="005A4A7A">
        <w:rPr>
          <w:rFonts w:ascii="Arial" w:hAnsi="Arial" w:cs="Arial"/>
          <w:spacing w:val="-2"/>
          <w:sz w:val="22"/>
          <w:szCs w:val="22"/>
        </w:rPr>
        <w:t>be construed</w:t>
      </w:r>
      <w:proofErr w:type="gramEnd"/>
      <w:r w:rsidR="003F350E" w:rsidRPr="005A4A7A">
        <w:rPr>
          <w:rFonts w:ascii="Arial" w:hAnsi="Arial" w:cs="Arial"/>
          <w:spacing w:val="-2"/>
          <w:sz w:val="22"/>
          <w:szCs w:val="22"/>
        </w:rPr>
        <w:t xml:space="preserve"> in the mind of the recipient as advice) to parties who are not your clients.</w:t>
      </w:r>
      <w:r w:rsidR="00163FE1" w:rsidRPr="005A4A7A">
        <w:rPr>
          <w:rFonts w:ascii="Arial" w:hAnsi="Arial" w:cs="Arial"/>
          <w:spacing w:val="-2"/>
          <w:sz w:val="22"/>
          <w:szCs w:val="22"/>
        </w:rPr>
        <w:t xml:space="preserve"> </w:t>
      </w:r>
      <w:r w:rsidR="003F350E" w:rsidRPr="005A4A7A">
        <w:rPr>
          <w:rFonts w:ascii="Arial" w:hAnsi="Arial" w:cs="Arial"/>
          <w:spacing w:val="-2"/>
          <w:sz w:val="22"/>
          <w:szCs w:val="22"/>
        </w:rPr>
        <w:t>Encourage people to get independent counsel, and, if there is potential confusion as to your role, make sure to clarify your role in writing so there is no confusion as to which party you represent.</w:t>
      </w:r>
    </w:p>
    <w:p w14:paraId="44C5E398" w14:textId="526BE92E" w:rsidR="00D93CC8" w:rsidRPr="005A4A7A" w:rsidRDefault="00D93CC8" w:rsidP="007F599D">
      <w:pPr>
        <w:numPr>
          <w:ilvl w:val="0"/>
          <w:numId w:val="10"/>
        </w:numPr>
        <w:tabs>
          <w:tab w:val="left" w:pos="-720"/>
        </w:tabs>
        <w:suppressAutoHyphens/>
        <w:spacing w:after="120" w:line="240" w:lineRule="exact"/>
        <w:ind w:left="360"/>
        <w:rPr>
          <w:rFonts w:ascii="Arial" w:hAnsi="Arial" w:cs="Arial"/>
          <w:spacing w:val="-2"/>
          <w:sz w:val="22"/>
          <w:szCs w:val="22"/>
        </w:rPr>
      </w:pPr>
      <w:r w:rsidRPr="005A4A7A">
        <w:rPr>
          <w:rFonts w:ascii="Arial" w:hAnsi="Arial" w:cs="Arial"/>
          <w:spacing w:val="-2"/>
          <w:sz w:val="22"/>
          <w:szCs w:val="22"/>
        </w:rPr>
        <w:t xml:space="preserve">Beware of the client who never seems to get all the information to you or </w:t>
      </w:r>
      <w:proofErr w:type="gramStart"/>
      <w:r w:rsidRPr="005A4A7A">
        <w:rPr>
          <w:rFonts w:ascii="Arial" w:hAnsi="Arial" w:cs="Arial"/>
          <w:spacing w:val="-2"/>
          <w:sz w:val="22"/>
          <w:szCs w:val="22"/>
        </w:rPr>
        <w:t>fails to</w:t>
      </w:r>
      <w:proofErr w:type="gramEnd"/>
      <w:r w:rsidRPr="005A4A7A">
        <w:rPr>
          <w:rFonts w:ascii="Arial" w:hAnsi="Arial" w:cs="Arial"/>
          <w:spacing w:val="-2"/>
          <w:sz w:val="22"/>
          <w:szCs w:val="22"/>
        </w:rPr>
        <w:t xml:space="preserve"> do the necessa</w:t>
      </w:r>
      <w:r w:rsidR="00CC3D01" w:rsidRPr="005A4A7A">
        <w:rPr>
          <w:rFonts w:ascii="Arial" w:hAnsi="Arial" w:cs="Arial"/>
          <w:spacing w:val="-2"/>
          <w:sz w:val="22"/>
          <w:szCs w:val="22"/>
        </w:rPr>
        <w:t xml:space="preserve">ry </w:t>
      </w:r>
      <w:proofErr w:type="gramStart"/>
      <w:r w:rsidR="00CC3D01" w:rsidRPr="005A4A7A">
        <w:rPr>
          <w:rFonts w:ascii="Arial" w:hAnsi="Arial" w:cs="Arial"/>
          <w:spacing w:val="-2"/>
          <w:sz w:val="22"/>
          <w:szCs w:val="22"/>
        </w:rPr>
        <w:t>footwork</w:t>
      </w:r>
      <w:proofErr w:type="gramEnd"/>
      <w:r w:rsidR="00CC3D01" w:rsidRPr="005A4A7A">
        <w:rPr>
          <w:rFonts w:ascii="Arial" w:hAnsi="Arial" w:cs="Arial"/>
          <w:spacing w:val="-2"/>
          <w:sz w:val="22"/>
          <w:szCs w:val="22"/>
        </w:rPr>
        <w:t xml:space="preserve"> because they want</w:t>
      </w:r>
      <w:r w:rsidRPr="005A4A7A">
        <w:rPr>
          <w:rFonts w:ascii="Arial" w:hAnsi="Arial" w:cs="Arial"/>
          <w:spacing w:val="-2"/>
          <w:sz w:val="22"/>
          <w:szCs w:val="22"/>
        </w:rPr>
        <w:t xml:space="preserve"> to save money.</w:t>
      </w:r>
      <w:r w:rsidR="00163FE1" w:rsidRPr="005A4A7A">
        <w:rPr>
          <w:rFonts w:ascii="Arial" w:hAnsi="Arial" w:cs="Arial"/>
          <w:spacing w:val="-2"/>
          <w:sz w:val="22"/>
          <w:szCs w:val="22"/>
        </w:rPr>
        <w:t xml:space="preserve"> </w:t>
      </w:r>
      <w:r w:rsidR="00CC3D01" w:rsidRPr="005A4A7A">
        <w:rPr>
          <w:rFonts w:ascii="Arial" w:hAnsi="Arial" w:cs="Arial"/>
          <w:spacing w:val="-2"/>
          <w:sz w:val="22"/>
          <w:szCs w:val="22"/>
        </w:rPr>
        <w:t>Double-</w:t>
      </w:r>
      <w:r w:rsidRPr="005A4A7A">
        <w:rPr>
          <w:rFonts w:ascii="Arial" w:hAnsi="Arial" w:cs="Arial"/>
          <w:spacing w:val="-2"/>
          <w:sz w:val="22"/>
          <w:szCs w:val="22"/>
        </w:rPr>
        <w:t>check and even threaten not to handle the matter unless you have all the information.</w:t>
      </w:r>
    </w:p>
    <w:p w14:paraId="345B9A74" w14:textId="24728DE0" w:rsidR="00D93CC8" w:rsidRPr="005A4A7A" w:rsidRDefault="00D93CC8" w:rsidP="007F599D">
      <w:pPr>
        <w:numPr>
          <w:ilvl w:val="0"/>
          <w:numId w:val="10"/>
        </w:numPr>
        <w:tabs>
          <w:tab w:val="left" w:pos="-720"/>
          <w:tab w:val="left" w:pos="0"/>
        </w:tabs>
        <w:suppressAutoHyphens/>
        <w:spacing w:after="120" w:line="240" w:lineRule="exact"/>
        <w:ind w:left="360"/>
        <w:rPr>
          <w:rFonts w:ascii="Arial" w:hAnsi="Arial" w:cs="Arial"/>
          <w:spacing w:val="-2"/>
          <w:sz w:val="22"/>
          <w:szCs w:val="22"/>
        </w:rPr>
      </w:pPr>
      <w:r w:rsidRPr="005A4A7A">
        <w:rPr>
          <w:rFonts w:ascii="Arial" w:hAnsi="Arial" w:cs="Arial"/>
          <w:spacing w:val="-2"/>
          <w:sz w:val="22"/>
          <w:szCs w:val="22"/>
        </w:rPr>
        <w:t>Be extremely careful about letting the client handle filings and recordings.</w:t>
      </w:r>
      <w:r w:rsidR="00163FE1" w:rsidRPr="005A4A7A">
        <w:rPr>
          <w:rFonts w:ascii="Arial" w:hAnsi="Arial" w:cs="Arial"/>
          <w:spacing w:val="-2"/>
          <w:sz w:val="22"/>
          <w:szCs w:val="22"/>
        </w:rPr>
        <w:t xml:space="preserve"> </w:t>
      </w:r>
      <w:r w:rsidR="003640DC">
        <w:rPr>
          <w:rFonts w:ascii="Arial" w:hAnsi="Arial" w:cs="Arial"/>
          <w:spacing w:val="-2"/>
          <w:sz w:val="22"/>
          <w:szCs w:val="22"/>
        </w:rPr>
        <w:t>If the client is to handle such details, f</w:t>
      </w:r>
      <w:r w:rsidR="00CC3D01" w:rsidRPr="005A4A7A">
        <w:rPr>
          <w:rFonts w:ascii="Arial" w:hAnsi="Arial" w:cs="Arial"/>
          <w:spacing w:val="-2"/>
          <w:sz w:val="22"/>
          <w:szCs w:val="22"/>
        </w:rPr>
        <w:t>ollow</w:t>
      </w:r>
      <w:r w:rsidR="006E42C0">
        <w:rPr>
          <w:rFonts w:ascii="Arial" w:hAnsi="Arial" w:cs="Arial"/>
          <w:spacing w:val="-2"/>
          <w:sz w:val="22"/>
          <w:szCs w:val="22"/>
        </w:rPr>
        <w:t xml:space="preserve"> </w:t>
      </w:r>
      <w:r w:rsidR="00CC3D01" w:rsidRPr="005A4A7A">
        <w:rPr>
          <w:rFonts w:ascii="Arial" w:hAnsi="Arial" w:cs="Arial"/>
          <w:spacing w:val="-2"/>
          <w:sz w:val="22"/>
          <w:szCs w:val="22"/>
        </w:rPr>
        <w:t xml:space="preserve">up with </w:t>
      </w:r>
      <w:r w:rsidR="003640DC">
        <w:rPr>
          <w:rFonts w:ascii="Arial" w:hAnsi="Arial" w:cs="Arial"/>
          <w:spacing w:val="-2"/>
          <w:sz w:val="22"/>
          <w:szCs w:val="22"/>
        </w:rPr>
        <w:t>written communication</w:t>
      </w:r>
      <w:r w:rsidRPr="005A4A7A">
        <w:rPr>
          <w:rFonts w:ascii="Arial" w:hAnsi="Arial" w:cs="Arial"/>
          <w:spacing w:val="-2"/>
          <w:sz w:val="22"/>
          <w:szCs w:val="22"/>
        </w:rPr>
        <w:t xml:space="preserve"> to the c</w:t>
      </w:r>
      <w:r w:rsidR="00CC3D01" w:rsidRPr="005A4A7A">
        <w:rPr>
          <w:rFonts w:ascii="Arial" w:hAnsi="Arial" w:cs="Arial"/>
          <w:spacing w:val="-2"/>
          <w:sz w:val="22"/>
          <w:szCs w:val="22"/>
        </w:rPr>
        <w:t xml:space="preserve">lient </w:t>
      </w:r>
      <w:proofErr w:type="gramStart"/>
      <w:r w:rsidR="00CC3D01" w:rsidRPr="005A4A7A">
        <w:rPr>
          <w:rFonts w:ascii="Arial" w:hAnsi="Arial" w:cs="Arial"/>
          <w:spacing w:val="-2"/>
          <w:sz w:val="22"/>
          <w:szCs w:val="22"/>
        </w:rPr>
        <w:t>indicating</w:t>
      </w:r>
      <w:proofErr w:type="gramEnd"/>
      <w:r w:rsidR="00CC3D01" w:rsidRPr="005A4A7A">
        <w:rPr>
          <w:rFonts w:ascii="Arial" w:hAnsi="Arial" w:cs="Arial"/>
          <w:spacing w:val="-2"/>
          <w:sz w:val="22"/>
          <w:szCs w:val="22"/>
        </w:rPr>
        <w:t xml:space="preserve"> that they have</w:t>
      </w:r>
      <w:r w:rsidRPr="005A4A7A">
        <w:rPr>
          <w:rFonts w:ascii="Arial" w:hAnsi="Arial" w:cs="Arial"/>
          <w:spacing w:val="-2"/>
          <w:sz w:val="22"/>
          <w:szCs w:val="22"/>
        </w:rPr>
        <w:t xml:space="preserve"> accepted </w:t>
      </w:r>
      <w:r w:rsidR="003640DC" w:rsidRPr="005A4A7A">
        <w:rPr>
          <w:rFonts w:ascii="Arial" w:hAnsi="Arial" w:cs="Arial"/>
          <w:spacing w:val="-2"/>
          <w:sz w:val="22"/>
          <w:szCs w:val="22"/>
        </w:rPr>
        <w:t>responsibility</w:t>
      </w:r>
      <w:r w:rsidRPr="005A4A7A">
        <w:rPr>
          <w:rFonts w:ascii="Arial" w:hAnsi="Arial" w:cs="Arial"/>
          <w:spacing w:val="-2"/>
          <w:sz w:val="22"/>
          <w:szCs w:val="22"/>
        </w:rPr>
        <w:t xml:space="preserve"> for this.</w:t>
      </w:r>
      <w:r w:rsidR="00163FE1" w:rsidRPr="005A4A7A">
        <w:rPr>
          <w:rFonts w:ascii="Arial" w:hAnsi="Arial" w:cs="Arial"/>
          <w:spacing w:val="-2"/>
          <w:sz w:val="22"/>
          <w:szCs w:val="22"/>
        </w:rPr>
        <w:t xml:space="preserve"> </w:t>
      </w:r>
      <w:r w:rsidRPr="005A4A7A">
        <w:rPr>
          <w:rFonts w:ascii="Arial" w:hAnsi="Arial" w:cs="Arial"/>
          <w:spacing w:val="-2"/>
          <w:sz w:val="22"/>
          <w:szCs w:val="22"/>
        </w:rPr>
        <w:t xml:space="preserve">The </w:t>
      </w:r>
      <w:r w:rsidR="00420EE3" w:rsidRPr="005A4A7A">
        <w:rPr>
          <w:rFonts w:ascii="Arial" w:hAnsi="Arial" w:cs="Arial"/>
          <w:spacing w:val="-2"/>
          <w:sz w:val="22"/>
          <w:szCs w:val="22"/>
        </w:rPr>
        <w:t>better practice</w:t>
      </w:r>
      <w:r w:rsidRPr="005A4A7A">
        <w:rPr>
          <w:rFonts w:ascii="Arial" w:hAnsi="Arial" w:cs="Arial"/>
          <w:spacing w:val="-2"/>
          <w:sz w:val="22"/>
          <w:szCs w:val="22"/>
        </w:rPr>
        <w:t xml:space="preserve"> is</w:t>
      </w:r>
      <w:r w:rsidR="00420EE3" w:rsidRPr="005A4A7A">
        <w:rPr>
          <w:rFonts w:ascii="Arial" w:hAnsi="Arial" w:cs="Arial"/>
          <w:spacing w:val="-2"/>
          <w:sz w:val="22"/>
          <w:szCs w:val="22"/>
        </w:rPr>
        <w:t xml:space="preserve"> to not</w:t>
      </w:r>
      <w:r w:rsidRPr="005A4A7A">
        <w:rPr>
          <w:rFonts w:ascii="Arial" w:hAnsi="Arial" w:cs="Arial"/>
          <w:spacing w:val="-2"/>
          <w:sz w:val="22"/>
          <w:szCs w:val="22"/>
        </w:rPr>
        <w:t xml:space="preserve"> allow the client to do it.</w:t>
      </w:r>
      <w:r w:rsidR="00993E8A">
        <w:rPr>
          <w:rStyle w:val="FootnoteReference"/>
          <w:rFonts w:ascii="Arial" w:hAnsi="Arial" w:cs="Arial"/>
          <w:spacing w:val="-2"/>
          <w:sz w:val="22"/>
          <w:szCs w:val="22"/>
        </w:rPr>
        <w:footnoteReference w:id="1"/>
      </w:r>
      <w:r w:rsidR="00FD6547" w:rsidRPr="005A4A7A">
        <w:rPr>
          <w:rFonts w:ascii="Arial" w:hAnsi="Arial" w:cs="Arial"/>
          <w:spacing w:val="-2"/>
          <w:sz w:val="22"/>
          <w:szCs w:val="22"/>
        </w:rPr>
        <w:t xml:space="preserve"> </w:t>
      </w:r>
      <w:r w:rsidR="00420EE3" w:rsidRPr="005A4A7A">
        <w:rPr>
          <w:rFonts w:ascii="Arial" w:hAnsi="Arial" w:cs="Arial"/>
          <w:spacing w:val="-2"/>
          <w:sz w:val="22"/>
          <w:szCs w:val="22"/>
        </w:rPr>
        <w:t>If a client insists on performing material aspects of the transaction, c</w:t>
      </w:r>
      <w:r w:rsidR="00FD6547" w:rsidRPr="005A4A7A">
        <w:rPr>
          <w:rFonts w:ascii="Arial" w:hAnsi="Arial" w:cs="Arial"/>
          <w:spacing w:val="-2"/>
          <w:sz w:val="22"/>
          <w:szCs w:val="22"/>
        </w:rPr>
        <w:t xml:space="preserve">onsider </w:t>
      </w:r>
      <w:proofErr w:type="gramStart"/>
      <w:r w:rsidR="00420EE3" w:rsidRPr="005A4A7A">
        <w:rPr>
          <w:rFonts w:ascii="Arial" w:hAnsi="Arial" w:cs="Arial"/>
          <w:spacing w:val="-2"/>
          <w:sz w:val="22"/>
          <w:szCs w:val="22"/>
        </w:rPr>
        <w:t>entering into</w:t>
      </w:r>
      <w:proofErr w:type="gramEnd"/>
      <w:r w:rsidR="00420EE3" w:rsidRPr="005A4A7A">
        <w:rPr>
          <w:rFonts w:ascii="Arial" w:hAnsi="Arial" w:cs="Arial"/>
          <w:spacing w:val="-2"/>
          <w:sz w:val="22"/>
          <w:szCs w:val="22"/>
        </w:rPr>
        <w:t xml:space="preserve"> </w:t>
      </w:r>
      <w:r w:rsidR="00FD6547" w:rsidRPr="005A4A7A">
        <w:rPr>
          <w:rFonts w:ascii="Arial" w:hAnsi="Arial" w:cs="Arial"/>
          <w:spacing w:val="-2"/>
          <w:sz w:val="22"/>
          <w:szCs w:val="22"/>
        </w:rPr>
        <w:t xml:space="preserve">a limited engagement. </w:t>
      </w:r>
      <w:r w:rsidR="00420EE3" w:rsidRPr="005A4A7A">
        <w:rPr>
          <w:rFonts w:ascii="Arial" w:hAnsi="Arial" w:cs="Arial"/>
          <w:spacing w:val="-2"/>
          <w:sz w:val="22"/>
          <w:szCs w:val="22"/>
        </w:rPr>
        <w:t>(</w:t>
      </w:r>
      <w:r w:rsidR="00FD6547" w:rsidRPr="005A4A7A">
        <w:rPr>
          <w:rFonts w:ascii="Arial" w:hAnsi="Arial" w:cs="Arial"/>
          <w:i/>
          <w:iCs/>
          <w:spacing w:val="-2"/>
          <w:sz w:val="22"/>
          <w:szCs w:val="22"/>
        </w:rPr>
        <w:t>See</w:t>
      </w:r>
      <w:r w:rsidR="00FD6547" w:rsidRPr="005A4A7A">
        <w:rPr>
          <w:rFonts w:ascii="Arial" w:hAnsi="Arial" w:cs="Arial"/>
          <w:spacing w:val="-2"/>
          <w:sz w:val="22"/>
          <w:szCs w:val="22"/>
        </w:rPr>
        <w:t xml:space="preserve"> ORPC 1.2(b)</w:t>
      </w:r>
      <w:r w:rsidR="00420EE3" w:rsidRPr="005A4A7A">
        <w:rPr>
          <w:rFonts w:ascii="Arial" w:hAnsi="Arial" w:cs="Arial"/>
          <w:spacing w:val="-2"/>
          <w:sz w:val="22"/>
          <w:szCs w:val="22"/>
        </w:rPr>
        <w:t>.)</w:t>
      </w:r>
    </w:p>
    <w:p w14:paraId="110170BA" w14:textId="3840E9C9" w:rsidR="00D93CC8" w:rsidRPr="005A4A7A" w:rsidRDefault="00D93CC8" w:rsidP="007F599D">
      <w:pPr>
        <w:numPr>
          <w:ilvl w:val="0"/>
          <w:numId w:val="10"/>
        </w:numPr>
        <w:tabs>
          <w:tab w:val="left" w:pos="-720"/>
        </w:tabs>
        <w:suppressAutoHyphens/>
        <w:spacing w:after="120" w:line="240" w:lineRule="exact"/>
        <w:ind w:left="360"/>
        <w:rPr>
          <w:rFonts w:ascii="Arial" w:hAnsi="Arial" w:cs="Arial"/>
          <w:b/>
          <w:spacing w:val="-2"/>
          <w:sz w:val="22"/>
          <w:szCs w:val="22"/>
        </w:rPr>
      </w:pPr>
      <w:r w:rsidRPr="005A4A7A">
        <w:rPr>
          <w:rFonts w:ascii="Arial" w:hAnsi="Arial" w:cs="Arial"/>
          <w:spacing w:val="-2"/>
          <w:sz w:val="22"/>
          <w:szCs w:val="22"/>
        </w:rPr>
        <w:t>If the client acts against the advice of the attor</w:t>
      </w:r>
      <w:r w:rsidR="00CC3D01" w:rsidRPr="005A4A7A">
        <w:rPr>
          <w:rFonts w:ascii="Arial" w:hAnsi="Arial" w:cs="Arial"/>
          <w:spacing w:val="-2"/>
          <w:sz w:val="22"/>
          <w:szCs w:val="22"/>
        </w:rPr>
        <w:t>ney, the attorney should follow up with a letter or an e</w:t>
      </w:r>
      <w:r w:rsidRPr="005A4A7A">
        <w:rPr>
          <w:rFonts w:ascii="Arial" w:hAnsi="Arial" w:cs="Arial"/>
          <w:spacing w:val="-2"/>
          <w:sz w:val="22"/>
          <w:szCs w:val="22"/>
        </w:rPr>
        <w:t xml:space="preserve">mail </w:t>
      </w:r>
      <w:proofErr w:type="gramStart"/>
      <w:r w:rsidRPr="005A4A7A">
        <w:rPr>
          <w:rFonts w:ascii="Arial" w:hAnsi="Arial" w:cs="Arial"/>
          <w:spacing w:val="-2"/>
          <w:sz w:val="22"/>
          <w:szCs w:val="22"/>
        </w:rPr>
        <w:t>indicating</w:t>
      </w:r>
      <w:proofErr w:type="gramEnd"/>
      <w:r w:rsidRPr="005A4A7A">
        <w:rPr>
          <w:rFonts w:ascii="Arial" w:hAnsi="Arial" w:cs="Arial"/>
          <w:spacing w:val="-2"/>
          <w:sz w:val="22"/>
          <w:szCs w:val="22"/>
        </w:rPr>
        <w:t xml:space="preserve"> the actions are against the advice of counsel.</w:t>
      </w:r>
      <w:r w:rsidR="00163FE1" w:rsidRPr="005A4A7A">
        <w:rPr>
          <w:rFonts w:ascii="Arial" w:hAnsi="Arial" w:cs="Arial"/>
          <w:spacing w:val="-2"/>
          <w:sz w:val="22"/>
          <w:szCs w:val="22"/>
        </w:rPr>
        <w:t xml:space="preserve"> </w:t>
      </w:r>
      <w:r w:rsidRPr="005A4A7A">
        <w:rPr>
          <w:rFonts w:ascii="Arial" w:hAnsi="Arial" w:cs="Arial"/>
          <w:spacing w:val="-2"/>
          <w:sz w:val="22"/>
          <w:szCs w:val="22"/>
        </w:rPr>
        <w:t xml:space="preserve">Consider </w:t>
      </w:r>
      <w:proofErr w:type="gramStart"/>
      <w:r w:rsidRPr="005A4A7A">
        <w:rPr>
          <w:rFonts w:ascii="Arial" w:hAnsi="Arial" w:cs="Arial"/>
          <w:spacing w:val="-2"/>
          <w:sz w:val="22"/>
          <w:szCs w:val="22"/>
        </w:rPr>
        <w:t>terminating</w:t>
      </w:r>
      <w:proofErr w:type="gramEnd"/>
      <w:r w:rsidRPr="005A4A7A">
        <w:rPr>
          <w:rFonts w:ascii="Arial" w:hAnsi="Arial" w:cs="Arial"/>
          <w:spacing w:val="-2"/>
          <w:sz w:val="22"/>
          <w:szCs w:val="22"/>
        </w:rPr>
        <w:t xml:space="preserve"> the relationship.</w:t>
      </w:r>
    </w:p>
    <w:p w14:paraId="59D74404" w14:textId="1BD582CA" w:rsidR="00D93CC8" w:rsidRPr="005A4A7A" w:rsidRDefault="00D93CC8" w:rsidP="007F599D">
      <w:pPr>
        <w:numPr>
          <w:ilvl w:val="0"/>
          <w:numId w:val="10"/>
        </w:numPr>
        <w:tabs>
          <w:tab w:val="left" w:pos="-720"/>
          <w:tab w:val="left" w:pos="0"/>
        </w:tabs>
        <w:suppressAutoHyphens/>
        <w:spacing w:after="120" w:line="240" w:lineRule="exact"/>
        <w:ind w:left="360"/>
        <w:rPr>
          <w:rFonts w:ascii="Arial" w:hAnsi="Arial" w:cs="Arial"/>
          <w:spacing w:val="-2"/>
          <w:sz w:val="22"/>
          <w:szCs w:val="22"/>
        </w:rPr>
      </w:pPr>
      <w:r w:rsidRPr="005A4A7A">
        <w:rPr>
          <w:rFonts w:ascii="Arial" w:hAnsi="Arial" w:cs="Arial"/>
          <w:spacing w:val="-2"/>
          <w:sz w:val="22"/>
          <w:szCs w:val="22"/>
        </w:rPr>
        <w:t>Follow</w:t>
      </w:r>
      <w:r w:rsidR="00CC3D01" w:rsidRPr="005A4A7A">
        <w:rPr>
          <w:rFonts w:ascii="Arial" w:hAnsi="Arial" w:cs="Arial"/>
          <w:spacing w:val="-2"/>
          <w:sz w:val="22"/>
          <w:szCs w:val="22"/>
        </w:rPr>
        <w:t xml:space="preserve"> up </w:t>
      </w:r>
      <w:r w:rsidRPr="005A4A7A">
        <w:rPr>
          <w:rFonts w:ascii="Arial" w:hAnsi="Arial" w:cs="Arial"/>
          <w:spacing w:val="-2"/>
          <w:sz w:val="22"/>
          <w:szCs w:val="22"/>
        </w:rPr>
        <w:t xml:space="preserve">phone calls and conferences when action </w:t>
      </w:r>
      <w:proofErr w:type="gramStart"/>
      <w:r w:rsidRPr="005A4A7A">
        <w:rPr>
          <w:rFonts w:ascii="Arial" w:hAnsi="Arial" w:cs="Arial"/>
          <w:spacing w:val="-2"/>
          <w:sz w:val="22"/>
          <w:szCs w:val="22"/>
        </w:rPr>
        <w:t>is taken</w:t>
      </w:r>
      <w:proofErr w:type="gramEnd"/>
      <w:r w:rsidRPr="005A4A7A">
        <w:rPr>
          <w:rFonts w:ascii="Arial" w:hAnsi="Arial" w:cs="Arial"/>
          <w:spacing w:val="-2"/>
          <w:sz w:val="22"/>
          <w:szCs w:val="22"/>
        </w:rPr>
        <w:t xml:space="preserve"> or discussed, or advi</w:t>
      </w:r>
      <w:r w:rsidR="00CC3D01" w:rsidRPr="005A4A7A">
        <w:rPr>
          <w:rFonts w:ascii="Arial" w:hAnsi="Arial" w:cs="Arial"/>
          <w:spacing w:val="-2"/>
          <w:sz w:val="22"/>
          <w:szCs w:val="22"/>
        </w:rPr>
        <w:t xml:space="preserve">ce </w:t>
      </w:r>
      <w:proofErr w:type="gramStart"/>
      <w:r w:rsidR="00CC3D01" w:rsidRPr="005A4A7A">
        <w:rPr>
          <w:rFonts w:ascii="Arial" w:hAnsi="Arial" w:cs="Arial"/>
          <w:spacing w:val="-2"/>
          <w:sz w:val="22"/>
          <w:szCs w:val="22"/>
        </w:rPr>
        <w:t>is given</w:t>
      </w:r>
      <w:proofErr w:type="gramEnd"/>
      <w:r w:rsidR="00CC3D01" w:rsidRPr="005A4A7A">
        <w:rPr>
          <w:rFonts w:ascii="Arial" w:hAnsi="Arial" w:cs="Arial"/>
          <w:spacing w:val="-2"/>
          <w:sz w:val="22"/>
          <w:szCs w:val="22"/>
        </w:rPr>
        <w:t>, with a letter or e</w:t>
      </w:r>
      <w:r w:rsidRPr="005A4A7A">
        <w:rPr>
          <w:rFonts w:ascii="Arial" w:hAnsi="Arial" w:cs="Arial"/>
          <w:spacing w:val="-2"/>
          <w:sz w:val="22"/>
          <w:szCs w:val="22"/>
        </w:rPr>
        <w:t>mail confirmin</w:t>
      </w:r>
      <w:r w:rsidR="00CC3D01" w:rsidRPr="005A4A7A">
        <w:rPr>
          <w:rFonts w:ascii="Arial" w:hAnsi="Arial" w:cs="Arial"/>
          <w:spacing w:val="-2"/>
          <w:sz w:val="22"/>
          <w:szCs w:val="22"/>
        </w:rPr>
        <w:t>g the discussion or a memo</w:t>
      </w:r>
      <w:r w:rsidRPr="005A4A7A">
        <w:rPr>
          <w:rFonts w:ascii="Arial" w:hAnsi="Arial" w:cs="Arial"/>
          <w:spacing w:val="-2"/>
          <w:sz w:val="22"/>
          <w:szCs w:val="22"/>
        </w:rPr>
        <w:t xml:space="preserve"> to the file</w:t>
      </w:r>
      <w:r w:rsidR="00CC3D01" w:rsidRPr="005A4A7A">
        <w:rPr>
          <w:rFonts w:ascii="Arial" w:hAnsi="Arial" w:cs="Arial"/>
          <w:spacing w:val="-2"/>
          <w:sz w:val="22"/>
          <w:szCs w:val="22"/>
        </w:rPr>
        <w:t>. I</w:t>
      </w:r>
      <w:r w:rsidR="00884EB2" w:rsidRPr="005A4A7A">
        <w:rPr>
          <w:rFonts w:ascii="Arial" w:hAnsi="Arial" w:cs="Arial"/>
          <w:spacing w:val="-2"/>
          <w:sz w:val="22"/>
          <w:szCs w:val="22"/>
        </w:rPr>
        <w:t xml:space="preserve">n </w:t>
      </w:r>
      <w:r w:rsidR="00CC3D01" w:rsidRPr="005A4A7A">
        <w:rPr>
          <w:rFonts w:ascii="Arial" w:hAnsi="Arial" w:cs="Arial"/>
          <w:spacing w:val="-2"/>
          <w:sz w:val="22"/>
          <w:szCs w:val="22"/>
        </w:rPr>
        <w:t>situations</w:t>
      </w:r>
      <w:r w:rsidR="00884EB2" w:rsidRPr="005A4A7A">
        <w:rPr>
          <w:rFonts w:ascii="Arial" w:hAnsi="Arial" w:cs="Arial"/>
          <w:spacing w:val="-2"/>
          <w:sz w:val="22"/>
          <w:szCs w:val="22"/>
        </w:rPr>
        <w:t xml:space="preserve"> where the issue is critical or legal </w:t>
      </w:r>
      <w:r w:rsidR="00CC3D01" w:rsidRPr="005A4A7A">
        <w:rPr>
          <w:rFonts w:ascii="Arial" w:hAnsi="Arial" w:cs="Arial"/>
          <w:spacing w:val="-2"/>
          <w:sz w:val="22"/>
          <w:szCs w:val="22"/>
        </w:rPr>
        <w:t xml:space="preserve">advice </w:t>
      </w:r>
      <w:proofErr w:type="gramStart"/>
      <w:r w:rsidR="00CC3D01" w:rsidRPr="005A4A7A">
        <w:rPr>
          <w:rFonts w:ascii="Arial" w:hAnsi="Arial" w:cs="Arial"/>
          <w:spacing w:val="-2"/>
          <w:sz w:val="22"/>
          <w:szCs w:val="22"/>
        </w:rPr>
        <w:t>is rejected</w:t>
      </w:r>
      <w:proofErr w:type="gramEnd"/>
      <w:r w:rsidR="00CC3D01" w:rsidRPr="005A4A7A">
        <w:rPr>
          <w:rFonts w:ascii="Arial" w:hAnsi="Arial" w:cs="Arial"/>
          <w:spacing w:val="-2"/>
          <w:sz w:val="22"/>
          <w:szCs w:val="22"/>
        </w:rPr>
        <w:t>, a memo</w:t>
      </w:r>
      <w:r w:rsidR="00884EB2" w:rsidRPr="005A4A7A">
        <w:rPr>
          <w:rFonts w:ascii="Arial" w:hAnsi="Arial" w:cs="Arial"/>
          <w:spacing w:val="-2"/>
          <w:sz w:val="22"/>
          <w:szCs w:val="22"/>
        </w:rPr>
        <w:t xml:space="preserve"> to the file is a less ideal solution because it does not give notice o</w:t>
      </w:r>
      <w:r w:rsidR="00CC3D01" w:rsidRPr="005A4A7A">
        <w:rPr>
          <w:rFonts w:ascii="Arial" w:hAnsi="Arial" w:cs="Arial"/>
          <w:spacing w:val="-2"/>
          <w:sz w:val="22"/>
          <w:szCs w:val="22"/>
        </w:rPr>
        <w:t xml:space="preserve">f the importance of the subject </w:t>
      </w:r>
      <w:r w:rsidR="00884EB2" w:rsidRPr="005A4A7A">
        <w:rPr>
          <w:rFonts w:ascii="Arial" w:hAnsi="Arial" w:cs="Arial"/>
          <w:spacing w:val="-2"/>
          <w:sz w:val="22"/>
          <w:szCs w:val="22"/>
        </w:rPr>
        <w:t>matter or reinforce the</w:t>
      </w:r>
      <w:r w:rsidR="00CC3D01" w:rsidRPr="005A4A7A">
        <w:rPr>
          <w:rFonts w:ascii="Arial" w:hAnsi="Arial" w:cs="Arial"/>
          <w:spacing w:val="-2"/>
          <w:sz w:val="22"/>
          <w:szCs w:val="22"/>
        </w:rPr>
        <w:t xml:space="preserve"> points raised by the attorney.</w:t>
      </w:r>
    </w:p>
    <w:p w14:paraId="20E65E30" w14:textId="458BC25E" w:rsidR="00D93CC8" w:rsidRPr="005A4A7A" w:rsidRDefault="00D93CC8" w:rsidP="007F599D">
      <w:pPr>
        <w:numPr>
          <w:ilvl w:val="0"/>
          <w:numId w:val="10"/>
        </w:numPr>
        <w:tabs>
          <w:tab w:val="left" w:pos="-720"/>
          <w:tab w:val="left" w:pos="0"/>
        </w:tabs>
        <w:suppressAutoHyphens/>
        <w:spacing w:after="120" w:line="240" w:lineRule="exact"/>
        <w:ind w:left="360"/>
        <w:rPr>
          <w:rFonts w:ascii="Arial" w:hAnsi="Arial" w:cs="Arial"/>
          <w:spacing w:val="-2"/>
          <w:sz w:val="22"/>
          <w:szCs w:val="22"/>
        </w:rPr>
      </w:pPr>
      <w:r w:rsidRPr="005A4A7A">
        <w:rPr>
          <w:rFonts w:ascii="Arial" w:hAnsi="Arial" w:cs="Arial"/>
          <w:spacing w:val="-2"/>
          <w:sz w:val="22"/>
          <w:szCs w:val="22"/>
        </w:rPr>
        <w:t xml:space="preserve">When </w:t>
      </w:r>
      <w:proofErr w:type="gramStart"/>
      <w:r w:rsidRPr="005A4A7A">
        <w:rPr>
          <w:rFonts w:ascii="Arial" w:hAnsi="Arial" w:cs="Arial"/>
          <w:spacing w:val="-2"/>
          <w:sz w:val="22"/>
          <w:szCs w:val="22"/>
        </w:rPr>
        <w:t>forwarding</w:t>
      </w:r>
      <w:proofErr w:type="gramEnd"/>
      <w:r w:rsidRPr="005A4A7A">
        <w:rPr>
          <w:rFonts w:ascii="Arial" w:hAnsi="Arial" w:cs="Arial"/>
          <w:spacing w:val="-2"/>
          <w:sz w:val="22"/>
          <w:szCs w:val="22"/>
        </w:rPr>
        <w:t xml:space="preserve"> documents </w:t>
      </w:r>
      <w:r w:rsidR="00F76794" w:rsidRPr="005A4A7A">
        <w:rPr>
          <w:rFonts w:ascii="Arial" w:hAnsi="Arial" w:cs="Arial"/>
          <w:spacing w:val="-2"/>
          <w:sz w:val="22"/>
          <w:szCs w:val="22"/>
        </w:rPr>
        <w:t xml:space="preserve">to </w:t>
      </w:r>
      <w:r w:rsidR="00B144E6" w:rsidRPr="005A4A7A">
        <w:rPr>
          <w:rFonts w:ascii="Arial" w:hAnsi="Arial" w:cs="Arial"/>
          <w:spacing w:val="-2"/>
          <w:sz w:val="22"/>
          <w:szCs w:val="22"/>
        </w:rPr>
        <w:t>any</w:t>
      </w:r>
      <w:r w:rsidRPr="005A4A7A">
        <w:rPr>
          <w:rFonts w:ascii="Arial" w:hAnsi="Arial" w:cs="Arial"/>
          <w:spacing w:val="-2"/>
          <w:sz w:val="22"/>
          <w:szCs w:val="22"/>
        </w:rPr>
        <w:t xml:space="preserve"> party</w:t>
      </w:r>
      <w:r w:rsidR="00B144E6" w:rsidRPr="005A4A7A">
        <w:rPr>
          <w:rFonts w:ascii="Arial" w:hAnsi="Arial" w:cs="Arial"/>
          <w:spacing w:val="-2"/>
          <w:sz w:val="22"/>
          <w:szCs w:val="22"/>
        </w:rPr>
        <w:t xml:space="preserve"> that is not your client</w:t>
      </w:r>
      <w:r w:rsidR="00730469" w:rsidRPr="005A4A7A">
        <w:rPr>
          <w:rFonts w:ascii="Arial" w:hAnsi="Arial" w:cs="Arial"/>
          <w:spacing w:val="-2"/>
          <w:sz w:val="22"/>
          <w:szCs w:val="22"/>
        </w:rPr>
        <w:t xml:space="preserve">, </w:t>
      </w:r>
      <w:r w:rsidR="003640DC">
        <w:rPr>
          <w:rFonts w:ascii="Arial" w:hAnsi="Arial" w:cs="Arial"/>
          <w:spacing w:val="-2"/>
          <w:sz w:val="22"/>
          <w:szCs w:val="22"/>
        </w:rPr>
        <w:t>in the transmittal communication</w:t>
      </w:r>
      <w:r w:rsidRPr="005A4A7A">
        <w:rPr>
          <w:rFonts w:ascii="Arial" w:hAnsi="Arial" w:cs="Arial"/>
          <w:spacing w:val="-2"/>
          <w:sz w:val="22"/>
          <w:szCs w:val="22"/>
        </w:rPr>
        <w:t xml:space="preserve">, </w:t>
      </w:r>
      <w:proofErr w:type="gramStart"/>
      <w:r w:rsidRPr="005A4A7A">
        <w:rPr>
          <w:rFonts w:ascii="Arial" w:hAnsi="Arial" w:cs="Arial"/>
          <w:spacing w:val="-2"/>
          <w:sz w:val="22"/>
          <w:szCs w:val="22"/>
        </w:rPr>
        <w:t>i</w:t>
      </w:r>
      <w:r w:rsidR="00F76794" w:rsidRPr="005A4A7A">
        <w:rPr>
          <w:rFonts w:ascii="Arial" w:hAnsi="Arial" w:cs="Arial"/>
          <w:spacing w:val="-2"/>
          <w:sz w:val="22"/>
          <w:szCs w:val="22"/>
        </w:rPr>
        <w:t>ndicat</w:t>
      </w:r>
      <w:r w:rsidR="003640DC">
        <w:rPr>
          <w:rFonts w:ascii="Arial" w:hAnsi="Arial" w:cs="Arial"/>
          <w:spacing w:val="-2"/>
          <w:sz w:val="22"/>
          <w:szCs w:val="22"/>
        </w:rPr>
        <w:t>e</w:t>
      </w:r>
      <w:proofErr w:type="gramEnd"/>
      <w:r w:rsidR="00F76794" w:rsidRPr="005A4A7A">
        <w:rPr>
          <w:rFonts w:ascii="Arial" w:hAnsi="Arial" w:cs="Arial"/>
          <w:spacing w:val="-2"/>
          <w:sz w:val="22"/>
          <w:szCs w:val="22"/>
        </w:rPr>
        <w:t xml:space="preserve"> you represent </w:t>
      </w:r>
      <w:r w:rsidR="00B144E6" w:rsidRPr="005A4A7A">
        <w:rPr>
          <w:rFonts w:ascii="Arial" w:hAnsi="Arial" w:cs="Arial"/>
          <w:spacing w:val="-2"/>
          <w:sz w:val="22"/>
          <w:szCs w:val="22"/>
        </w:rPr>
        <w:t xml:space="preserve">another </w:t>
      </w:r>
      <w:proofErr w:type="gramStart"/>
      <w:r w:rsidR="00B144E6" w:rsidRPr="005A4A7A">
        <w:rPr>
          <w:rFonts w:ascii="Arial" w:hAnsi="Arial" w:cs="Arial"/>
          <w:spacing w:val="-2"/>
          <w:sz w:val="22"/>
          <w:szCs w:val="22"/>
        </w:rPr>
        <w:t>party</w:t>
      </w:r>
      <w:proofErr w:type="gramEnd"/>
      <w:r w:rsidRPr="005A4A7A">
        <w:rPr>
          <w:rFonts w:ascii="Arial" w:hAnsi="Arial" w:cs="Arial"/>
          <w:spacing w:val="-2"/>
          <w:sz w:val="22"/>
          <w:szCs w:val="22"/>
        </w:rPr>
        <w:t xml:space="preserve"> and the </w:t>
      </w:r>
      <w:r w:rsidR="00B144E6" w:rsidRPr="005A4A7A">
        <w:rPr>
          <w:rFonts w:ascii="Arial" w:hAnsi="Arial" w:cs="Arial"/>
          <w:spacing w:val="-2"/>
          <w:sz w:val="22"/>
          <w:szCs w:val="22"/>
        </w:rPr>
        <w:t>non-client</w:t>
      </w:r>
      <w:r w:rsidRPr="005A4A7A">
        <w:rPr>
          <w:rFonts w:ascii="Arial" w:hAnsi="Arial" w:cs="Arial"/>
          <w:spacing w:val="-2"/>
          <w:sz w:val="22"/>
          <w:szCs w:val="22"/>
        </w:rPr>
        <w:t xml:space="preserve"> should have t</w:t>
      </w:r>
      <w:r w:rsidR="00730469" w:rsidRPr="005A4A7A">
        <w:rPr>
          <w:rFonts w:ascii="Arial" w:hAnsi="Arial" w:cs="Arial"/>
          <w:spacing w:val="-2"/>
          <w:sz w:val="22"/>
          <w:szCs w:val="22"/>
        </w:rPr>
        <w:t xml:space="preserve">he documents reviewed by their own attorney if </w:t>
      </w:r>
      <w:proofErr w:type="gramStart"/>
      <w:r w:rsidR="00730469" w:rsidRPr="005A4A7A">
        <w:rPr>
          <w:rFonts w:ascii="Arial" w:hAnsi="Arial" w:cs="Arial"/>
          <w:spacing w:val="-2"/>
          <w:sz w:val="22"/>
          <w:szCs w:val="22"/>
        </w:rPr>
        <w:t>they so</w:t>
      </w:r>
      <w:proofErr w:type="gramEnd"/>
      <w:r w:rsidR="00730469" w:rsidRPr="005A4A7A">
        <w:rPr>
          <w:rFonts w:ascii="Arial" w:hAnsi="Arial" w:cs="Arial"/>
          <w:spacing w:val="-2"/>
          <w:sz w:val="22"/>
          <w:szCs w:val="22"/>
        </w:rPr>
        <w:t xml:space="preserve"> wish</w:t>
      </w:r>
      <w:r w:rsidR="003640DC">
        <w:rPr>
          <w:rFonts w:ascii="Arial" w:hAnsi="Arial" w:cs="Arial"/>
          <w:spacing w:val="-2"/>
          <w:sz w:val="22"/>
          <w:szCs w:val="22"/>
        </w:rPr>
        <w:t xml:space="preserve">. </w:t>
      </w:r>
      <w:r w:rsidR="0040775D">
        <w:rPr>
          <w:rFonts w:ascii="Arial" w:hAnsi="Arial" w:cs="Arial"/>
          <w:spacing w:val="-2"/>
          <w:sz w:val="22"/>
          <w:szCs w:val="22"/>
        </w:rPr>
        <w:t>If t</w:t>
      </w:r>
      <w:r w:rsidR="003640DC">
        <w:rPr>
          <w:rFonts w:ascii="Arial" w:hAnsi="Arial" w:cs="Arial"/>
          <w:spacing w:val="-2"/>
          <w:sz w:val="22"/>
          <w:szCs w:val="22"/>
        </w:rPr>
        <w:t xml:space="preserve">he party </w:t>
      </w:r>
      <w:proofErr w:type="gramStart"/>
      <w:r w:rsidR="003640DC">
        <w:rPr>
          <w:rFonts w:ascii="Arial" w:hAnsi="Arial" w:cs="Arial"/>
          <w:spacing w:val="-2"/>
          <w:sz w:val="22"/>
          <w:szCs w:val="22"/>
        </w:rPr>
        <w:t>is represented</w:t>
      </w:r>
      <w:proofErr w:type="gramEnd"/>
      <w:r w:rsidR="003640DC">
        <w:rPr>
          <w:rFonts w:ascii="Arial" w:hAnsi="Arial" w:cs="Arial"/>
          <w:spacing w:val="-2"/>
          <w:sz w:val="22"/>
          <w:szCs w:val="22"/>
        </w:rPr>
        <w:t xml:space="preserve">, you must </w:t>
      </w:r>
      <w:proofErr w:type="gramStart"/>
      <w:r w:rsidR="003640DC">
        <w:rPr>
          <w:rFonts w:ascii="Arial" w:hAnsi="Arial" w:cs="Arial"/>
          <w:spacing w:val="-2"/>
          <w:sz w:val="22"/>
          <w:szCs w:val="22"/>
        </w:rPr>
        <w:t>comply with</w:t>
      </w:r>
      <w:proofErr w:type="gramEnd"/>
      <w:r w:rsidR="003640DC">
        <w:rPr>
          <w:rFonts w:ascii="Arial" w:hAnsi="Arial" w:cs="Arial"/>
          <w:spacing w:val="-2"/>
          <w:sz w:val="22"/>
          <w:szCs w:val="22"/>
        </w:rPr>
        <w:t xml:space="preserve"> ORPC 4.2</w:t>
      </w:r>
      <w:r w:rsidRPr="005A4A7A">
        <w:rPr>
          <w:rFonts w:ascii="Arial" w:hAnsi="Arial" w:cs="Arial"/>
          <w:spacing w:val="-2"/>
          <w:sz w:val="22"/>
          <w:szCs w:val="22"/>
        </w:rPr>
        <w:t>.</w:t>
      </w:r>
      <w:r w:rsidR="00163FE1" w:rsidRPr="005A4A7A">
        <w:rPr>
          <w:rFonts w:ascii="Arial" w:hAnsi="Arial" w:cs="Arial"/>
          <w:spacing w:val="-2"/>
          <w:sz w:val="22"/>
          <w:szCs w:val="22"/>
        </w:rPr>
        <w:t xml:space="preserve"> </w:t>
      </w:r>
      <w:r w:rsidRPr="005A4A7A">
        <w:rPr>
          <w:rFonts w:ascii="Arial" w:hAnsi="Arial" w:cs="Arial"/>
          <w:spacing w:val="-2"/>
          <w:sz w:val="22"/>
          <w:szCs w:val="22"/>
        </w:rPr>
        <w:t xml:space="preserve">If a proposed contract </w:t>
      </w:r>
      <w:proofErr w:type="gramStart"/>
      <w:r w:rsidRPr="005A4A7A">
        <w:rPr>
          <w:rFonts w:ascii="Arial" w:hAnsi="Arial" w:cs="Arial"/>
          <w:spacing w:val="-2"/>
          <w:sz w:val="22"/>
          <w:szCs w:val="22"/>
        </w:rPr>
        <w:t>is included</w:t>
      </w:r>
      <w:proofErr w:type="gramEnd"/>
      <w:r w:rsidRPr="005A4A7A">
        <w:rPr>
          <w:rFonts w:ascii="Arial" w:hAnsi="Arial" w:cs="Arial"/>
          <w:spacing w:val="-2"/>
          <w:sz w:val="22"/>
          <w:szCs w:val="22"/>
        </w:rPr>
        <w:t xml:space="preserve"> in the transaction or is </w:t>
      </w:r>
      <w:proofErr w:type="gramStart"/>
      <w:r w:rsidRPr="005A4A7A">
        <w:rPr>
          <w:rFonts w:ascii="Arial" w:hAnsi="Arial" w:cs="Arial"/>
          <w:spacing w:val="-2"/>
          <w:sz w:val="22"/>
          <w:szCs w:val="22"/>
        </w:rPr>
        <w:t>being tendered</w:t>
      </w:r>
      <w:proofErr w:type="gramEnd"/>
      <w:r w:rsidRPr="005A4A7A">
        <w:rPr>
          <w:rFonts w:ascii="Arial" w:hAnsi="Arial" w:cs="Arial"/>
          <w:spacing w:val="-2"/>
          <w:sz w:val="22"/>
          <w:szCs w:val="22"/>
        </w:rPr>
        <w:t xml:space="preserve"> to escrow, there should be some writing with an acknowledgement provision for the other party that </w:t>
      </w:r>
      <w:proofErr w:type="gramStart"/>
      <w:r w:rsidRPr="005A4A7A">
        <w:rPr>
          <w:rFonts w:ascii="Arial" w:hAnsi="Arial" w:cs="Arial"/>
          <w:spacing w:val="-2"/>
          <w:sz w:val="22"/>
          <w:szCs w:val="22"/>
        </w:rPr>
        <w:t>indicates</w:t>
      </w:r>
      <w:proofErr w:type="gramEnd"/>
      <w:r w:rsidRPr="005A4A7A">
        <w:rPr>
          <w:rFonts w:ascii="Arial" w:hAnsi="Arial" w:cs="Arial"/>
          <w:spacing w:val="-2"/>
          <w:sz w:val="22"/>
          <w:szCs w:val="22"/>
        </w:rPr>
        <w:t xml:space="preserve"> you are </w:t>
      </w:r>
      <w:proofErr w:type="gramStart"/>
      <w:r w:rsidRPr="005A4A7A">
        <w:rPr>
          <w:rFonts w:ascii="Arial" w:hAnsi="Arial" w:cs="Arial"/>
          <w:spacing w:val="-2"/>
          <w:sz w:val="22"/>
          <w:szCs w:val="22"/>
        </w:rPr>
        <w:t>representing</w:t>
      </w:r>
      <w:proofErr w:type="gramEnd"/>
      <w:r w:rsidRPr="005A4A7A">
        <w:rPr>
          <w:rFonts w:ascii="Arial" w:hAnsi="Arial" w:cs="Arial"/>
          <w:spacing w:val="-2"/>
          <w:sz w:val="22"/>
          <w:szCs w:val="22"/>
        </w:rPr>
        <w:t xml:space="preserve"> your </w:t>
      </w:r>
      <w:proofErr w:type="gramStart"/>
      <w:r w:rsidRPr="005A4A7A">
        <w:rPr>
          <w:rFonts w:ascii="Arial" w:hAnsi="Arial" w:cs="Arial"/>
          <w:spacing w:val="-2"/>
          <w:sz w:val="22"/>
          <w:szCs w:val="22"/>
        </w:rPr>
        <w:t>client</w:t>
      </w:r>
      <w:proofErr w:type="gramEnd"/>
      <w:r w:rsidRPr="005A4A7A">
        <w:rPr>
          <w:rFonts w:ascii="Arial" w:hAnsi="Arial" w:cs="Arial"/>
          <w:spacing w:val="-2"/>
          <w:sz w:val="22"/>
          <w:szCs w:val="22"/>
        </w:rPr>
        <w:t xml:space="preserve"> and the other party can seek independent legal advice concerning the agreement.</w:t>
      </w:r>
    </w:p>
    <w:p w14:paraId="7298415F" w14:textId="16EF45CB" w:rsidR="00BC5B8F" w:rsidRPr="005A4A7A" w:rsidRDefault="00BC5B8F" w:rsidP="007F599D">
      <w:pPr>
        <w:numPr>
          <w:ilvl w:val="0"/>
          <w:numId w:val="10"/>
        </w:numPr>
        <w:tabs>
          <w:tab w:val="left" w:pos="-720"/>
          <w:tab w:val="left" w:pos="0"/>
        </w:tabs>
        <w:suppressAutoHyphens/>
        <w:spacing w:after="120" w:line="240" w:lineRule="exact"/>
        <w:ind w:left="360"/>
        <w:rPr>
          <w:rFonts w:ascii="Arial" w:hAnsi="Arial" w:cs="Arial"/>
          <w:spacing w:val="-2"/>
          <w:sz w:val="22"/>
          <w:szCs w:val="22"/>
        </w:rPr>
      </w:pPr>
      <w:r w:rsidRPr="005A4A7A">
        <w:rPr>
          <w:rFonts w:ascii="Arial" w:hAnsi="Arial" w:cs="Arial"/>
          <w:spacing w:val="-2"/>
          <w:sz w:val="22"/>
          <w:szCs w:val="22"/>
        </w:rPr>
        <w:t xml:space="preserve">When emailing counsel for other parties, do not </w:t>
      </w:r>
      <w:r w:rsidR="00BD1065" w:rsidRPr="005A4A7A">
        <w:rPr>
          <w:rFonts w:ascii="Arial" w:hAnsi="Arial" w:cs="Arial"/>
          <w:spacing w:val="-2"/>
          <w:sz w:val="22"/>
          <w:szCs w:val="22"/>
        </w:rPr>
        <w:t>copy</w:t>
      </w:r>
      <w:r w:rsidRPr="005A4A7A">
        <w:rPr>
          <w:rFonts w:ascii="Arial" w:hAnsi="Arial" w:cs="Arial"/>
          <w:spacing w:val="-2"/>
          <w:sz w:val="22"/>
          <w:szCs w:val="22"/>
        </w:rPr>
        <w:t xml:space="preserve"> or even</w:t>
      </w:r>
      <w:r w:rsidR="00BD1065" w:rsidRPr="005A4A7A">
        <w:rPr>
          <w:rFonts w:ascii="Arial" w:hAnsi="Arial" w:cs="Arial"/>
          <w:spacing w:val="-2"/>
          <w:sz w:val="22"/>
          <w:szCs w:val="22"/>
        </w:rPr>
        <w:t xml:space="preserve"> blind copy</w:t>
      </w:r>
      <w:r w:rsidRPr="005A4A7A">
        <w:rPr>
          <w:rFonts w:ascii="Arial" w:hAnsi="Arial" w:cs="Arial"/>
          <w:spacing w:val="-2"/>
          <w:sz w:val="22"/>
          <w:szCs w:val="22"/>
        </w:rPr>
        <w:t xml:space="preserve"> your client. </w:t>
      </w:r>
      <w:r w:rsidR="00BD1065" w:rsidRPr="005A4A7A">
        <w:rPr>
          <w:rFonts w:ascii="Arial" w:hAnsi="Arial" w:cs="Arial"/>
          <w:spacing w:val="-2"/>
          <w:sz w:val="22"/>
          <w:szCs w:val="22"/>
        </w:rPr>
        <w:t>There is a risk that your</w:t>
      </w:r>
      <w:r w:rsidRPr="005A4A7A">
        <w:rPr>
          <w:rFonts w:ascii="Arial" w:hAnsi="Arial" w:cs="Arial"/>
          <w:spacing w:val="-2"/>
          <w:sz w:val="22"/>
          <w:szCs w:val="22"/>
        </w:rPr>
        <w:t xml:space="preserve"> client might </w:t>
      </w:r>
      <w:r w:rsidR="00163FE1" w:rsidRPr="005A4A7A">
        <w:rPr>
          <w:rFonts w:ascii="Arial" w:hAnsi="Arial" w:cs="Arial"/>
          <w:spacing w:val="-2"/>
          <w:sz w:val="22"/>
          <w:szCs w:val="22"/>
        </w:rPr>
        <w:t>“</w:t>
      </w:r>
      <w:r w:rsidR="00730469" w:rsidRPr="005A4A7A">
        <w:rPr>
          <w:rFonts w:ascii="Arial" w:hAnsi="Arial" w:cs="Arial"/>
          <w:spacing w:val="-2"/>
          <w:sz w:val="22"/>
          <w:szCs w:val="22"/>
        </w:rPr>
        <w:t xml:space="preserve">reply </w:t>
      </w:r>
      <w:r w:rsidRPr="005A4A7A">
        <w:rPr>
          <w:rFonts w:ascii="Arial" w:hAnsi="Arial" w:cs="Arial"/>
          <w:spacing w:val="-2"/>
          <w:sz w:val="22"/>
          <w:szCs w:val="22"/>
        </w:rPr>
        <w:t>all</w:t>
      </w:r>
      <w:r w:rsidR="00BD1065" w:rsidRPr="005A4A7A">
        <w:rPr>
          <w:rFonts w:ascii="Arial" w:hAnsi="Arial" w:cs="Arial"/>
          <w:spacing w:val="-2"/>
          <w:sz w:val="22"/>
          <w:szCs w:val="22"/>
        </w:rPr>
        <w:t>,</w:t>
      </w:r>
      <w:r w:rsidR="00163FE1" w:rsidRPr="005A4A7A">
        <w:rPr>
          <w:rFonts w:ascii="Arial" w:hAnsi="Arial" w:cs="Arial"/>
          <w:spacing w:val="-2"/>
          <w:sz w:val="22"/>
          <w:szCs w:val="22"/>
        </w:rPr>
        <w:t>”</w:t>
      </w:r>
      <w:r w:rsidR="00BD1065" w:rsidRPr="005A4A7A">
        <w:rPr>
          <w:rFonts w:ascii="Arial" w:hAnsi="Arial" w:cs="Arial"/>
          <w:spacing w:val="-2"/>
          <w:sz w:val="22"/>
          <w:szCs w:val="22"/>
        </w:rPr>
        <w:t xml:space="preserve"> </w:t>
      </w:r>
      <w:proofErr w:type="gramStart"/>
      <w:r w:rsidRPr="005A4A7A">
        <w:rPr>
          <w:rFonts w:ascii="Arial" w:hAnsi="Arial" w:cs="Arial"/>
          <w:spacing w:val="-2"/>
          <w:sz w:val="22"/>
          <w:szCs w:val="22"/>
        </w:rPr>
        <w:t>disclose</w:t>
      </w:r>
      <w:proofErr w:type="gramEnd"/>
      <w:r w:rsidRPr="005A4A7A">
        <w:rPr>
          <w:rFonts w:ascii="Arial" w:hAnsi="Arial" w:cs="Arial"/>
          <w:spacing w:val="-2"/>
          <w:sz w:val="22"/>
          <w:szCs w:val="22"/>
        </w:rPr>
        <w:t xml:space="preserve"> information your client intended only for you</w:t>
      </w:r>
      <w:r w:rsidR="00BD1065" w:rsidRPr="005A4A7A">
        <w:rPr>
          <w:rFonts w:ascii="Arial" w:hAnsi="Arial" w:cs="Arial"/>
          <w:spacing w:val="-2"/>
          <w:sz w:val="22"/>
          <w:szCs w:val="22"/>
        </w:rPr>
        <w:t>, and potentially waive attorney-client privilege as to the communication and subject matter</w:t>
      </w:r>
      <w:r w:rsidRPr="005A4A7A">
        <w:rPr>
          <w:rFonts w:ascii="Arial" w:hAnsi="Arial" w:cs="Arial"/>
          <w:spacing w:val="-2"/>
          <w:sz w:val="22"/>
          <w:szCs w:val="22"/>
        </w:rPr>
        <w:t xml:space="preserve">. </w:t>
      </w:r>
      <w:r w:rsidR="00BD1065" w:rsidRPr="005A4A7A">
        <w:rPr>
          <w:rFonts w:ascii="Arial" w:hAnsi="Arial" w:cs="Arial"/>
          <w:spacing w:val="-2"/>
          <w:sz w:val="22"/>
          <w:szCs w:val="22"/>
        </w:rPr>
        <w:t>The b</w:t>
      </w:r>
      <w:r w:rsidRPr="005A4A7A">
        <w:rPr>
          <w:rFonts w:ascii="Arial" w:hAnsi="Arial" w:cs="Arial"/>
          <w:spacing w:val="-2"/>
          <w:sz w:val="22"/>
          <w:szCs w:val="22"/>
        </w:rPr>
        <w:t xml:space="preserve">etter practice is </w:t>
      </w:r>
      <w:r w:rsidR="001B712C" w:rsidRPr="005A4A7A">
        <w:rPr>
          <w:rFonts w:ascii="Arial" w:hAnsi="Arial" w:cs="Arial"/>
          <w:spacing w:val="-2"/>
          <w:sz w:val="22"/>
          <w:szCs w:val="22"/>
        </w:rPr>
        <w:t xml:space="preserve">to </w:t>
      </w:r>
      <w:r w:rsidRPr="005A4A7A">
        <w:rPr>
          <w:rFonts w:ascii="Arial" w:hAnsi="Arial" w:cs="Arial"/>
          <w:spacing w:val="-2"/>
          <w:sz w:val="22"/>
          <w:szCs w:val="22"/>
        </w:rPr>
        <w:t xml:space="preserve">send </w:t>
      </w:r>
      <w:r w:rsidR="00F76794" w:rsidRPr="005A4A7A">
        <w:rPr>
          <w:rFonts w:ascii="Arial" w:hAnsi="Arial" w:cs="Arial"/>
          <w:spacing w:val="-2"/>
          <w:sz w:val="22"/>
          <w:szCs w:val="22"/>
        </w:rPr>
        <w:t xml:space="preserve">an </w:t>
      </w:r>
      <w:r w:rsidRPr="005A4A7A">
        <w:rPr>
          <w:rFonts w:ascii="Arial" w:hAnsi="Arial" w:cs="Arial"/>
          <w:spacing w:val="-2"/>
          <w:sz w:val="22"/>
          <w:szCs w:val="22"/>
        </w:rPr>
        <w:t xml:space="preserve">email to </w:t>
      </w:r>
      <w:r w:rsidR="001B712C" w:rsidRPr="005A4A7A">
        <w:rPr>
          <w:rFonts w:ascii="Arial" w:hAnsi="Arial" w:cs="Arial"/>
          <w:spacing w:val="-2"/>
          <w:sz w:val="22"/>
          <w:szCs w:val="22"/>
        </w:rPr>
        <w:t xml:space="preserve">the </w:t>
      </w:r>
      <w:r w:rsidRPr="005A4A7A">
        <w:rPr>
          <w:rFonts w:ascii="Arial" w:hAnsi="Arial" w:cs="Arial"/>
          <w:spacing w:val="-2"/>
          <w:sz w:val="22"/>
          <w:szCs w:val="22"/>
        </w:rPr>
        <w:t>other party</w:t>
      </w:r>
      <w:r w:rsidR="00163FE1" w:rsidRPr="005A4A7A">
        <w:rPr>
          <w:rFonts w:ascii="Arial" w:hAnsi="Arial" w:cs="Arial"/>
          <w:spacing w:val="-2"/>
          <w:sz w:val="22"/>
          <w:szCs w:val="22"/>
        </w:rPr>
        <w:t>’</w:t>
      </w:r>
      <w:r w:rsidRPr="005A4A7A">
        <w:rPr>
          <w:rFonts w:ascii="Arial" w:hAnsi="Arial" w:cs="Arial"/>
          <w:spacing w:val="-2"/>
          <w:sz w:val="22"/>
          <w:szCs w:val="22"/>
        </w:rPr>
        <w:t>s attorney and then send a separate copy to your client.</w:t>
      </w:r>
      <w:r w:rsidR="00993E8A">
        <w:rPr>
          <w:rStyle w:val="FootnoteReference"/>
          <w:rFonts w:ascii="Arial" w:hAnsi="Arial" w:cs="Arial"/>
          <w:spacing w:val="-2"/>
          <w:sz w:val="22"/>
          <w:szCs w:val="22"/>
        </w:rPr>
        <w:footnoteReference w:id="2"/>
      </w:r>
    </w:p>
    <w:p w14:paraId="5D8BC9AD" w14:textId="4B25DF5A" w:rsidR="00D93CC8" w:rsidRPr="005A4A7A" w:rsidRDefault="00D93CC8" w:rsidP="007F599D">
      <w:pPr>
        <w:numPr>
          <w:ilvl w:val="0"/>
          <w:numId w:val="10"/>
        </w:numPr>
        <w:tabs>
          <w:tab w:val="left" w:pos="-720"/>
          <w:tab w:val="left" w:pos="0"/>
        </w:tabs>
        <w:suppressAutoHyphens/>
        <w:spacing w:after="120" w:line="240" w:lineRule="exact"/>
        <w:ind w:left="360"/>
        <w:rPr>
          <w:rFonts w:ascii="Arial" w:hAnsi="Arial" w:cs="Arial"/>
          <w:spacing w:val="-2"/>
          <w:sz w:val="22"/>
          <w:szCs w:val="22"/>
        </w:rPr>
      </w:pPr>
      <w:r w:rsidRPr="005A4A7A">
        <w:rPr>
          <w:rFonts w:ascii="Arial" w:hAnsi="Arial" w:cs="Arial"/>
          <w:spacing w:val="-2"/>
          <w:sz w:val="22"/>
          <w:szCs w:val="22"/>
        </w:rPr>
        <w:lastRenderedPageBreak/>
        <w:t>Keep some kind of file, even a miscellaneous one, when only asked to review documents.</w:t>
      </w:r>
      <w:r w:rsidR="00163FE1" w:rsidRPr="005A4A7A">
        <w:rPr>
          <w:rFonts w:ascii="Arial" w:hAnsi="Arial" w:cs="Arial"/>
          <w:spacing w:val="-2"/>
          <w:sz w:val="22"/>
          <w:szCs w:val="22"/>
        </w:rPr>
        <w:t xml:space="preserve"> </w:t>
      </w:r>
      <w:r w:rsidRPr="005A4A7A">
        <w:rPr>
          <w:rFonts w:ascii="Arial" w:hAnsi="Arial" w:cs="Arial"/>
          <w:spacing w:val="-2"/>
          <w:sz w:val="22"/>
          <w:szCs w:val="22"/>
        </w:rPr>
        <w:t xml:space="preserve">Document in writing the limited scope of your </w:t>
      </w:r>
      <w:r w:rsidR="00B144E6" w:rsidRPr="005A4A7A">
        <w:rPr>
          <w:rFonts w:ascii="Arial" w:hAnsi="Arial" w:cs="Arial"/>
          <w:spacing w:val="-2"/>
          <w:sz w:val="22"/>
          <w:szCs w:val="22"/>
        </w:rPr>
        <w:t>engagement</w:t>
      </w:r>
      <w:r w:rsidRPr="005A4A7A">
        <w:rPr>
          <w:rFonts w:ascii="Arial" w:hAnsi="Arial" w:cs="Arial"/>
          <w:spacing w:val="-2"/>
          <w:sz w:val="22"/>
          <w:szCs w:val="22"/>
        </w:rPr>
        <w:t>.</w:t>
      </w:r>
      <w:r w:rsidR="00884EB2" w:rsidRPr="005A4A7A">
        <w:rPr>
          <w:rFonts w:ascii="Arial" w:hAnsi="Arial" w:cs="Arial"/>
          <w:spacing w:val="-2"/>
          <w:sz w:val="22"/>
          <w:szCs w:val="22"/>
        </w:rPr>
        <w:t xml:space="preserve"> A good practice is to recite the documents </w:t>
      </w:r>
      <w:r w:rsidR="00F268C7" w:rsidRPr="005A4A7A">
        <w:rPr>
          <w:rFonts w:ascii="Arial" w:hAnsi="Arial" w:cs="Arial"/>
          <w:spacing w:val="-2"/>
          <w:sz w:val="22"/>
          <w:szCs w:val="22"/>
        </w:rPr>
        <w:t>considered</w:t>
      </w:r>
      <w:r w:rsidR="00884EB2" w:rsidRPr="005A4A7A">
        <w:rPr>
          <w:rFonts w:ascii="Arial" w:hAnsi="Arial" w:cs="Arial"/>
          <w:spacing w:val="-2"/>
          <w:sz w:val="22"/>
          <w:szCs w:val="22"/>
        </w:rPr>
        <w:t xml:space="preserve"> in </w:t>
      </w:r>
      <w:proofErr w:type="gramStart"/>
      <w:r w:rsidR="00F268C7" w:rsidRPr="005A4A7A">
        <w:rPr>
          <w:rFonts w:ascii="Arial" w:hAnsi="Arial" w:cs="Arial"/>
          <w:spacing w:val="-2"/>
          <w:sz w:val="22"/>
          <w:szCs w:val="22"/>
        </w:rPr>
        <w:t>providing</w:t>
      </w:r>
      <w:proofErr w:type="gramEnd"/>
      <w:r w:rsidR="00F268C7" w:rsidRPr="005A4A7A">
        <w:rPr>
          <w:rFonts w:ascii="Arial" w:hAnsi="Arial" w:cs="Arial"/>
          <w:spacing w:val="-2"/>
          <w:sz w:val="22"/>
          <w:szCs w:val="22"/>
        </w:rPr>
        <w:t xml:space="preserve"> the legal advice based on the review.</w:t>
      </w:r>
    </w:p>
    <w:p w14:paraId="18043B66" w14:textId="77777777" w:rsidR="00ED6A8D" w:rsidRPr="005A4A7A" w:rsidRDefault="00ED6A8D" w:rsidP="007F599D">
      <w:pPr>
        <w:numPr>
          <w:ilvl w:val="0"/>
          <w:numId w:val="10"/>
        </w:numPr>
        <w:tabs>
          <w:tab w:val="left" w:pos="-720"/>
          <w:tab w:val="left" w:pos="0"/>
        </w:tabs>
        <w:suppressAutoHyphens/>
        <w:spacing w:after="120" w:line="240" w:lineRule="exact"/>
        <w:ind w:left="360"/>
        <w:rPr>
          <w:rFonts w:ascii="Arial" w:hAnsi="Arial" w:cs="Arial"/>
          <w:spacing w:val="-2"/>
          <w:sz w:val="22"/>
          <w:szCs w:val="22"/>
        </w:rPr>
      </w:pPr>
      <w:r w:rsidRPr="005A4A7A">
        <w:rPr>
          <w:rFonts w:ascii="Arial" w:hAnsi="Arial" w:cs="Arial"/>
          <w:spacing w:val="-2"/>
          <w:sz w:val="22"/>
          <w:szCs w:val="22"/>
        </w:rPr>
        <w:t xml:space="preserve">In deciding whether the buyer should </w:t>
      </w:r>
      <w:proofErr w:type="gramStart"/>
      <w:r w:rsidRPr="005A4A7A">
        <w:rPr>
          <w:rFonts w:ascii="Arial" w:hAnsi="Arial" w:cs="Arial"/>
          <w:spacing w:val="-2"/>
          <w:sz w:val="22"/>
          <w:szCs w:val="22"/>
        </w:rPr>
        <w:t>purchase</w:t>
      </w:r>
      <w:proofErr w:type="gramEnd"/>
      <w:r w:rsidRPr="005A4A7A">
        <w:rPr>
          <w:rFonts w:ascii="Arial" w:hAnsi="Arial" w:cs="Arial"/>
          <w:spacing w:val="-2"/>
          <w:sz w:val="22"/>
          <w:szCs w:val="22"/>
        </w:rPr>
        <w:t xml:space="preserve"> equity or assets, key points to consider are what liability will </w:t>
      </w:r>
      <w:proofErr w:type="gramStart"/>
      <w:r w:rsidRPr="005A4A7A">
        <w:rPr>
          <w:rFonts w:ascii="Arial" w:hAnsi="Arial" w:cs="Arial"/>
          <w:spacing w:val="-2"/>
          <w:sz w:val="22"/>
          <w:szCs w:val="22"/>
        </w:rPr>
        <w:t>be assumed</w:t>
      </w:r>
      <w:proofErr w:type="gramEnd"/>
      <w:r w:rsidRPr="005A4A7A">
        <w:rPr>
          <w:rFonts w:ascii="Arial" w:hAnsi="Arial" w:cs="Arial"/>
          <w:spacing w:val="-2"/>
          <w:sz w:val="22"/>
          <w:szCs w:val="22"/>
        </w:rPr>
        <w:t xml:space="preserve"> by the buyer (i.e., the potential for contingent or undisclosed liabilities) and how much of the value of the business lies in </w:t>
      </w:r>
      <w:proofErr w:type="spellStart"/>
      <w:r w:rsidRPr="005A4A7A">
        <w:rPr>
          <w:rFonts w:ascii="Arial" w:hAnsi="Arial" w:cs="Arial"/>
          <w:spacing w:val="-2"/>
          <w:sz w:val="22"/>
          <w:szCs w:val="22"/>
        </w:rPr>
        <w:t>nonassignable</w:t>
      </w:r>
      <w:proofErr w:type="spellEnd"/>
      <w:r w:rsidRPr="005A4A7A">
        <w:rPr>
          <w:rFonts w:ascii="Arial" w:hAnsi="Arial" w:cs="Arial"/>
          <w:spacing w:val="-2"/>
          <w:sz w:val="22"/>
          <w:szCs w:val="22"/>
        </w:rPr>
        <w:t xml:space="preserve"> contracts, licenses, or leases. The possibility of undisclosed or contingent liabilities might suggest </w:t>
      </w:r>
      <w:proofErr w:type="gramStart"/>
      <w:r w:rsidRPr="005A4A7A">
        <w:rPr>
          <w:rFonts w:ascii="Arial" w:hAnsi="Arial" w:cs="Arial"/>
          <w:spacing w:val="-2"/>
          <w:sz w:val="22"/>
          <w:szCs w:val="22"/>
        </w:rPr>
        <w:t>purchasing</w:t>
      </w:r>
      <w:proofErr w:type="gramEnd"/>
      <w:r w:rsidRPr="005A4A7A">
        <w:rPr>
          <w:rFonts w:ascii="Arial" w:hAnsi="Arial" w:cs="Arial"/>
          <w:spacing w:val="-2"/>
          <w:sz w:val="22"/>
          <w:szCs w:val="22"/>
        </w:rPr>
        <w:t xml:space="preserve"> assets while the existence of valuable </w:t>
      </w:r>
      <w:proofErr w:type="spellStart"/>
      <w:r w:rsidRPr="005A4A7A">
        <w:rPr>
          <w:rFonts w:ascii="Arial" w:hAnsi="Arial" w:cs="Arial"/>
          <w:spacing w:val="-2"/>
          <w:sz w:val="22"/>
          <w:szCs w:val="22"/>
        </w:rPr>
        <w:t>nonassignable</w:t>
      </w:r>
      <w:proofErr w:type="spellEnd"/>
      <w:r w:rsidRPr="005A4A7A">
        <w:rPr>
          <w:rFonts w:ascii="Arial" w:hAnsi="Arial" w:cs="Arial"/>
          <w:spacing w:val="-2"/>
          <w:sz w:val="22"/>
          <w:szCs w:val="22"/>
        </w:rPr>
        <w:t xml:space="preserve"> contracts, licenses, or leases could lead a buyer to </w:t>
      </w:r>
      <w:proofErr w:type="gramStart"/>
      <w:r w:rsidRPr="005A4A7A">
        <w:rPr>
          <w:rFonts w:ascii="Arial" w:hAnsi="Arial" w:cs="Arial"/>
          <w:spacing w:val="-2"/>
          <w:sz w:val="22"/>
          <w:szCs w:val="22"/>
        </w:rPr>
        <w:t>purchase</w:t>
      </w:r>
      <w:proofErr w:type="gramEnd"/>
      <w:r w:rsidRPr="005A4A7A">
        <w:rPr>
          <w:rFonts w:ascii="Arial" w:hAnsi="Arial" w:cs="Arial"/>
          <w:spacing w:val="-2"/>
          <w:sz w:val="22"/>
          <w:szCs w:val="22"/>
        </w:rPr>
        <w:t xml:space="preserve"> equity (make sure </w:t>
      </w:r>
      <w:proofErr w:type="spellStart"/>
      <w:r w:rsidRPr="005A4A7A">
        <w:rPr>
          <w:rFonts w:ascii="Arial" w:hAnsi="Arial" w:cs="Arial"/>
          <w:spacing w:val="-2"/>
          <w:sz w:val="22"/>
          <w:szCs w:val="22"/>
        </w:rPr>
        <w:t>nonassignable</w:t>
      </w:r>
      <w:proofErr w:type="spellEnd"/>
      <w:r w:rsidRPr="005A4A7A">
        <w:rPr>
          <w:rFonts w:ascii="Arial" w:hAnsi="Arial" w:cs="Arial"/>
          <w:spacing w:val="-2"/>
          <w:sz w:val="22"/>
          <w:szCs w:val="22"/>
        </w:rPr>
        <w:t xml:space="preserve"> contracts </w:t>
      </w:r>
      <w:proofErr w:type="gramStart"/>
      <w:r w:rsidRPr="005A4A7A">
        <w:rPr>
          <w:rFonts w:ascii="Arial" w:hAnsi="Arial" w:cs="Arial"/>
          <w:spacing w:val="-2"/>
          <w:sz w:val="22"/>
          <w:szCs w:val="22"/>
        </w:rPr>
        <w:t>are not breached</w:t>
      </w:r>
      <w:proofErr w:type="gramEnd"/>
      <w:r w:rsidRPr="005A4A7A">
        <w:rPr>
          <w:rFonts w:ascii="Arial" w:hAnsi="Arial" w:cs="Arial"/>
          <w:spacing w:val="-2"/>
          <w:sz w:val="22"/>
          <w:szCs w:val="22"/>
        </w:rPr>
        <w:t xml:space="preserve"> on a change of control).</w:t>
      </w:r>
    </w:p>
    <w:p w14:paraId="2A22E466" w14:textId="0D4ECD4C" w:rsidR="00ED6A8D" w:rsidRPr="005A4A7A" w:rsidRDefault="00ED6A8D" w:rsidP="007F599D">
      <w:pPr>
        <w:numPr>
          <w:ilvl w:val="0"/>
          <w:numId w:val="10"/>
        </w:numPr>
        <w:tabs>
          <w:tab w:val="left" w:pos="-720"/>
          <w:tab w:val="left" w:pos="0"/>
        </w:tabs>
        <w:suppressAutoHyphens/>
        <w:spacing w:after="120" w:line="240" w:lineRule="exact"/>
        <w:ind w:left="360"/>
        <w:rPr>
          <w:rFonts w:ascii="Arial" w:hAnsi="Arial" w:cs="Arial"/>
          <w:spacing w:val="-2"/>
          <w:sz w:val="22"/>
          <w:szCs w:val="22"/>
        </w:rPr>
      </w:pPr>
      <w:r w:rsidRPr="005A4A7A">
        <w:rPr>
          <w:rFonts w:ascii="Arial" w:hAnsi="Arial" w:cs="Arial"/>
          <w:spacing w:val="-2"/>
          <w:sz w:val="22"/>
          <w:szCs w:val="22"/>
        </w:rPr>
        <w:t xml:space="preserve">Look at all tax </w:t>
      </w:r>
      <w:proofErr w:type="gramStart"/>
      <w:r w:rsidRPr="005A4A7A">
        <w:rPr>
          <w:rFonts w:ascii="Arial" w:hAnsi="Arial" w:cs="Arial"/>
          <w:spacing w:val="-2"/>
          <w:sz w:val="22"/>
          <w:szCs w:val="22"/>
        </w:rPr>
        <w:t>aspects</w:t>
      </w:r>
      <w:proofErr w:type="gramEnd"/>
      <w:r w:rsidRPr="005A4A7A">
        <w:rPr>
          <w:rFonts w:ascii="Arial" w:hAnsi="Arial" w:cs="Arial"/>
          <w:spacing w:val="-2"/>
          <w:sz w:val="22"/>
          <w:szCs w:val="22"/>
        </w:rPr>
        <w:t xml:space="preserve"> when making the decision as to whether to sell or </w:t>
      </w:r>
      <w:proofErr w:type="gramStart"/>
      <w:r w:rsidRPr="005A4A7A">
        <w:rPr>
          <w:rFonts w:ascii="Arial" w:hAnsi="Arial" w:cs="Arial"/>
          <w:spacing w:val="-2"/>
          <w:sz w:val="22"/>
          <w:szCs w:val="22"/>
        </w:rPr>
        <w:t>purchase</w:t>
      </w:r>
      <w:proofErr w:type="gramEnd"/>
      <w:r w:rsidRPr="005A4A7A">
        <w:rPr>
          <w:rFonts w:ascii="Arial" w:hAnsi="Arial" w:cs="Arial"/>
          <w:spacing w:val="-2"/>
          <w:sz w:val="22"/>
          <w:szCs w:val="22"/>
        </w:rPr>
        <w:t xml:space="preserve"> the stock or the assets of the company.</w:t>
      </w:r>
      <w:r w:rsidR="00163FE1" w:rsidRPr="005A4A7A">
        <w:rPr>
          <w:rFonts w:ascii="Arial" w:hAnsi="Arial" w:cs="Arial"/>
          <w:spacing w:val="-2"/>
          <w:sz w:val="22"/>
          <w:szCs w:val="22"/>
        </w:rPr>
        <w:t xml:space="preserve"> </w:t>
      </w:r>
      <w:r w:rsidRPr="005A4A7A">
        <w:rPr>
          <w:rFonts w:ascii="Arial" w:hAnsi="Arial" w:cs="Arial"/>
          <w:spacing w:val="-2"/>
          <w:sz w:val="22"/>
          <w:szCs w:val="22"/>
        </w:rPr>
        <w:t xml:space="preserve">The choice of a stock sale versus an asset sale often significantly changes the tax consequences to buyer and seller; the same price for either deal should </w:t>
      </w:r>
      <w:proofErr w:type="gramStart"/>
      <w:r w:rsidRPr="005A4A7A">
        <w:rPr>
          <w:rFonts w:ascii="Arial" w:hAnsi="Arial" w:cs="Arial"/>
          <w:spacing w:val="-2"/>
          <w:sz w:val="22"/>
          <w:szCs w:val="22"/>
        </w:rPr>
        <w:t>be assumed</w:t>
      </w:r>
      <w:proofErr w:type="gramEnd"/>
      <w:r w:rsidRPr="005A4A7A">
        <w:rPr>
          <w:rFonts w:ascii="Arial" w:hAnsi="Arial" w:cs="Arial"/>
          <w:spacing w:val="-2"/>
          <w:sz w:val="22"/>
          <w:szCs w:val="22"/>
        </w:rPr>
        <w:t>.</w:t>
      </w:r>
      <w:r w:rsidR="00163FE1" w:rsidRPr="005A4A7A">
        <w:rPr>
          <w:rFonts w:ascii="Arial" w:hAnsi="Arial" w:cs="Arial"/>
          <w:spacing w:val="-2"/>
          <w:sz w:val="22"/>
          <w:szCs w:val="22"/>
        </w:rPr>
        <w:t xml:space="preserve"> </w:t>
      </w:r>
      <w:r w:rsidRPr="005A4A7A">
        <w:rPr>
          <w:rFonts w:ascii="Arial" w:hAnsi="Arial" w:cs="Arial"/>
          <w:spacing w:val="-2"/>
          <w:sz w:val="22"/>
          <w:szCs w:val="22"/>
        </w:rPr>
        <w:t xml:space="preserve">Check </w:t>
      </w:r>
      <w:r w:rsidR="00730469" w:rsidRPr="005A4A7A">
        <w:rPr>
          <w:rFonts w:ascii="Arial" w:hAnsi="Arial" w:cs="Arial"/>
          <w:spacing w:val="-2"/>
          <w:sz w:val="22"/>
          <w:szCs w:val="22"/>
        </w:rPr>
        <w:t xml:space="preserve">the </w:t>
      </w:r>
      <w:r w:rsidRPr="005A4A7A">
        <w:rPr>
          <w:rFonts w:ascii="Arial" w:hAnsi="Arial" w:cs="Arial"/>
          <w:spacing w:val="-2"/>
          <w:sz w:val="22"/>
          <w:szCs w:val="22"/>
        </w:rPr>
        <w:t>applicability of ORS 305.330, potential liability of purchaser of assets for seller</w:t>
      </w:r>
      <w:r w:rsidR="00163FE1" w:rsidRPr="005A4A7A">
        <w:rPr>
          <w:rFonts w:ascii="Arial" w:hAnsi="Arial" w:cs="Arial"/>
          <w:spacing w:val="-2"/>
          <w:sz w:val="22"/>
          <w:szCs w:val="22"/>
        </w:rPr>
        <w:t>’</w:t>
      </w:r>
      <w:r w:rsidRPr="005A4A7A">
        <w:rPr>
          <w:rFonts w:ascii="Arial" w:hAnsi="Arial" w:cs="Arial"/>
          <w:spacing w:val="-2"/>
          <w:sz w:val="22"/>
          <w:szCs w:val="22"/>
        </w:rPr>
        <w:t>s tax liabilities.</w:t>
      </w:r>
      <w:r w:rsidR="00163FE1" w:rsidRPr="005A4A7A">
        <w:rPr>
          <w:rFonts w:ascii="Arial" w:hAnsi="Arial" w:cs="Arial"/>
          <w:spacing w:val="-2"/>
          <w:sz w:val="22"/>
          <w:szCs w:val="22"/>
        </w:rPr>
        <w:t xml:space="preserve"> </w:t>
      </w:r>
      <w:r w:rsidRPr="005A4A7A">
        <w:rPr>
          <w:rFonts w:ascii="Arial" w:hAnsi="Arial" w:cs="Arial"/>
          <w:spacing w:val="-2"/>
          <w:sz w:val="22"/>
          <w:szCs w:val="22"/>
        </w:rPr>
        <w:t xml:space="preserve">Document in writing who is undertaking the tax analysis to </w:t>
      </w:r>
      <w:proofErr w:type="gramStart"/>
      <w:r w:rsidRPr="005A4A7A">
        <w:rPr>
          <w:rFonts w:ascii="Arial" w:hAnsi="Arial" w:cs="Arial"/>
          <w:spacing w:val="-2"/>
          <w:sz w:val="22"/>
          <w:szCs w:val="22"/>
        </w:rPr>
        <w:t>advise</w:t>
      </w:r>
      <w:proofErr w:type="gramEnd"/>
      <w:r w:rsidRPr="005A4A7A">
        <w:rPr>
          <w:rFonts w:ascii="Arial" w:hAnsi="Arial" w:cs="Arial"/>
          <w:spacing w:val="-2"/>
          <w:sz w:val="22"/>
          <w:szCs w:val="22"/>
        </w:rPr>
        <w:t xml:space="preserve"> your client about the income tax aspects of the transaction, whether it is you, a tax accountant, or another tax expert.</w:t>
      </w:r>
      <w:r w:rsidR="00163FE1" w:rsidRPr="005A4A7A">
        <w:rPr>
          <w:rFonts w:ascii="Arial" w:hAnsi="Arial" w:cs="Arial"/>
          <w:spacing w:val="-2"/>
          <w:sz w:val="22"/>
          <w:szCs w:val="22"/>
        </w:rPr>
        <w:t xml:space="preserve"> </w:t>
      </w:r>
      <w:r w:rsidRPr="005A4A7A">
        <w:rPr>
          <w:rFonts w:ascii="Arial" w:hAnsi="Arial" w:cs="Arial"/>
          <w:spacing w:val="-2"/>
          <w:sz w:val="22"/>
          <w:szCs w:val="22"/>
        </w:rPr>
        <w:t xml:space="preserve">Be aware of personal property taxes and real property taxes that may have </w:t>
      </w:r>
      <w:proofErr w:type="gramStart"/>
      <w:r w:rsidRPr="005A4A7A">
        <w:rPr>
          <w:rFonts w:ascii="Arial" w:hAnsi="Arial" w:cs="Arial"/>
          <w:spacing w:val="-2"/>
          <w:sz w:val="22"/>
          <w:szCs w:val="22"/>
        </w:rPr>
        <w:t>accrued</w:t>
      </w:r>
      <w:proofErr w:type="gramEnd"/>
      <w:r w:rsidRPr="005A4A7A">
        <w:rPr>
          <w:rFonts w:ascii="Arial" w:hAnsi="Arial" w:cs="Arial"/>
          <w:spacing w:val="-2"/>
          <w:sz w:val="22"/>
          <w:szCs w:val="22"/>
        </w:rPr>
        <w:t xml:space="preserve"> but not become due as to the target company</w:t>
      </w:r>
      <w:r w:rsidR="00163FE1" w:rsidRPr="005A4A7A">
        <w:rPr>
          <w:rFonts w:ascii="Arial" w:hAnsi="Arial" w:cs="Arial"/>
          <w:spacing w:val="-2"/>
          <w:sz w:val="22"/>
          <w:szCs w:val="22"/>
        </w:rPr>
        <w:t>’</w:t>
      </w:r>
      <w:r w:rsidRPr="005A4A7A">
        <w:rPr>
          <w:rFonts w:ascii="Arial" w:hAnsi="Arial" w:cs="Arial"/>
          <w:spacing w:val="-2"/>
          <w:sz w:val="22"/>
          <w:szCs w:val="22"/>
        </w:rPr>
        <w:t>s assets.</w:t>
      </w:r>
    </w:p>
    <w:p w14:paraId="7AE437BA" w14:textId="75B6EF75" w:rsidR="00ED6A8D" w:rsidRPr="005A4A7A" w:rsidRDefault="00ED6A8D" w:rsidP="007F599D">
      <w:pPr>
        <w:numPr>
          <w:ilvl w:val="0"/>
          <w:numId w:val="10"/>
        </w:numPr>
        <w:tabs>
          <w:tab w:val="left" w:pos="-720"/>
          <w:tab w:val="left" w:pos="0"/>
        </w:tabs>
        <w:suppressAutoHyphens/>
        <w:spacing w:after="120" w:line="240" w:lineRule="exact"/>
        <w:ind w:left="360"/>
        <w:rPr>
          <w:rFonts w:ascii="Arial" w:hAnsi="Arial" w:cs="Arial"/>
          <w:spacing w:val="-2"/>
          <w:sz w:val="22"/>
          <w:szCs w:val="22"/>
        </w:rPr>
      </w:pPr>
      <w:r w:rsidRPr="005A4A7A">
        <w:rPr>
          <w:rFonts w:ascii="Arial" w:hAnsi="Arial" w:cs="Arial"/>
          <w:spacing w:val="-2"/>
          <w:sz w:val="22"/>
          <w:szCs w:val="22"/>
        </w:rPr>
        <w:t>When an accountant is involved, make sure that the client understands what functions you are performing and not performing.</w:t>
      </w:r>
      <w:r w:rsidR="00163FE1" w:rsidRPr="005A4A7A">
        <w:rPr>
          <w:rFonts w:ascii="Arial" w:hAnsi="Arial" w:cs="Arial"/>
          <w:spacing w:val="-2"/>
          <w:sz w:val="22"/>
          <w:szCs w:val="22"/>
        </w:rPr>
        <w:t xml:space="preserve"> </w:t>
      </w:r>
      <w:r w:rsidRPr="005A4A7A">
        <w:rPr>
          <w:rFonts w:ascii="Arial" w:hAnsi="Arial" w:cs="Arial"/>
          <w:spacing w:val="-2"/>
          <w:sz w:val="22"/>
          <w:szCs w:val="22"/>
        </w:rPr>
        <w:t>Clarify your scope of work in writing to the client and, possibly, to the accountant, and if the accounta</w:t>
      </w:r>
      <w:r w:rsidR="001E3B99" w:rsidRPr="005A4A7A">
        <w:rPr>
          <w:rFonts w:ascii="Arial" w:hAnsi="Arial" w:cs="Arial"/>
          <w:spacing w:val="-2"/>
          <w:sz w:val="22"/>
          <w:szCs w:val="22"/>
        </w:rPr>
        <w:t xml:space="preserve">nt has not clarified their </w:t>
      </w:r>
      <w:r w:rsidRPr="005A4A7A">
        <w:rPr>
          <w:rFonts w:ascii="Arial" w:hAnsi="Arial" w:cs="Arial"/>
          <w:spacing w:val="-2"/>
          <w:sz w:val="22"/>
          <w:szCs w:val="22"/>
        </w:rPr>
        <w:t>scope of work, find a way to do so for the protection of your client and yourself.</w:t>
      </w:r>
      <w:r w:rsidR="00163FE1" w:rsidRPr="005A4A7A">
        <w:rPr>
          <w:rFonts w:ascii="Arial" w:hAnsi="Arial" w:cs="Arial"/>
          <w:spacing w:val="-2"/>
          <w:sz w:val="22"/>
          <w:szCs w:val="22"/>
        </w:rPr>
        <w:t xml:space="preserve"> </w:t>
      </w:r>
      <w:r w:rsidRPr="005A4A7A">
        <w:rPr>
          <w:rFonts w:ascii="Arial" w:hAnsi="Arial" w:cs="Arial"/>
          <w:spacing w:val="-2"/>
          <w:sz w:val="22"/>
          <w:szCs w:val="22"/>
        </w:rPr>
        <w:t>Particularly, watch out for sub-chapter S elections.</w:t>
      </w:r>
      <w:r w:rsidR="00163FE1" w:rsidRPr="005A4A7A">
        <w:rPr>
          <w:rFonts w:ascii="Arial" w:hAnsi="Arial" w:cs="Arial"/>
          <w:spacing w:val="-2"/>
          <w:sz w:val="22"/>
          <w:szCs w:val="22"/>
        </w:rPr>
        <w:t xml:space="preserve"> </w:t>
      </w:r>
      <w:r w:rsidRPr="005A4A7A">
        <w:rPr>
          <w:rFonts w:ascii="Arial" w:hAnsi="Arial" w:cs="Arial"/>
          <w:spacing w:val="-2"/>
          <w:sz w:val="22"/>
          <w:szCs w:val="22"/>
        </w:rPr>
        <w:t>When you are forming a corporation</w:t>
      </w:r>
      <w:r w:rsidR="001E3B99" w:rsidRPr="005A4A7A">
        <w:rPr>
          <w:rFonts w:ascii="Arial" w:hAnsi="Arial" w:cs="Arial"/>
          <w:spacing w:val="-2"/>
          <w:sz w:val="22"/>
          <w:szCs w:val="22"/>
        </w:rPr>
        <w:t>, send a confirming letter or e</w:t>
      </w:r>
      <w:r w:rsidRPr="005A4A7A">
        <w:rPr>
          <w:rFonts w:ascii="Arial" w:hAnsi="Arial" w:cs="Arial"/>
          <w:spacing w:val="-2"/>
          <w:sz w:val="22"/>
          <w:szCs w:val="22"/>
        </w:rPr>
        <w:t xml:space="preserve">mail to the accountant </w:t>
      </w:r>
      <w:proofErr w:type="gramStart"/>
      <w:r w:rsidRPr="005A4A7A">
        <w:rPr>
          <w:rFonts w:ascii="Arial" w:hAnsi="Arial" w:cs="Arial"/>
          <w:spacing w:val="-2"/>
          <w:sz w:val="22"/>
          <w:szCs w:val="22"/>
        </w:rPr>
        <w:t>indicating</w:t>
      </w:r>
      <w:proofErr w:type="gramEnd"/>
      <w:r w:rsidRPr="005A4A7A">
        <w:rPr>
          <w:rFonts w:ascii="Arial" w:hAnsi="Arial" w:cs="Arial"/>
          <w:spacing w:val="-2"/>
          <w:sz w:val="22"/>
          <w:szCs w:val="22"/>
        </w:rPr>
        <w:t xml:space="preserve"> who (you or the accountant) </w:t>
      </w:r>
      <w:proofErr w:type="gramStart"/>
      <w:r w:rsidRPr="005A4A7A">
        <w:rPr>
          <w:rFonts w:ascii="Arial" w:hAnsi="Arial" w:cs="Arial"/>
          <w:spacing w:val="-2"/>
          <w:sz w:val="22"/>
          <w:szCs w:val="22"/>
        </w:rPr>
        <w:t>is responsible for</w:t>
      </w:r>
      <w:proofErr w:type="gramEnd"/>
      <w:r w:rsidRPr="005A4A7A">
        <w:rPr>
          <w:rFonts w:ascii="Arial" w:hAnsi="Arial" w:cs="Arial"/>
          <w:spacing w:val="-2"/>
          <w:sz w:val="22"/>
          <w:szCs w:val="22"/>
        </w:rPr>
        <w:t xml:space="preserve"> filing the election, and </w:t>
      </w:r>
      <w:proofErr w:type="gramStart"/>
      <w:r w:rsidRPr="005A4A7A">
        <w:rPr>
          <w:rFonts w:ascii="Arial" w:hAnsi="Arial" w:cs="Arial"/>
          <w:spacing w:val="-2"/>
          <w:sz w:val="22"/>
          <w:szCs w:val="22"/>
        </w:rPr>
        <w:t>copy</w:t>
      </w:r>
      <w:proofErr w:type="gramEnd"/>
      <w:r w:rsidRPr="005A4A7A">
        <w:rPr>
          <w:rFonts w:ascii="Arial" w:hAnsi="Arial" w:cs="Arial"/>
          <w:spacing w:val="-2"/>
          <w:sz w:val="22"/>
          <w:szCs w:val="22"/>
        </w:rPr>
        <w:t xml:space="preserve"> the client.</w:t>
      </w:r>
    </w:p>
    <w:p w14:paraId="08D0F713" w14:textId="293932E7" w:rsidR="00ED6A8D" w:rsidRPr="005A4A7A" w:rsidRDefault="00ED6A8D" w:rsidP="007F599D">
      <w:pPr>
        <w:numPr>
          <w:ilvl w:val="0"/>
          <w:numId w:val="10"/>
        </w:numPr>
        <w:tabs>
          <w:tab w:val="left" w:pos="-720"/>
        </w:tabs>
        <w:suppressAutoHyphens/>
        <w:spacing w:after="120" w:line="240" w:lineRule="exact"/>
        <w:ind w:left="360"/>
        <w:rPr>
          <w:rFonts w:ascii="Arial" w:hAnsi="Arial" w:cs="Arial"/>
          <w:spacing w:val="-2"/>
          <w:sz w:val="22"/>
          <w:szCs w:val="22"/>
        </w:rPr>
      </w:pPr>
      <w:r w:rsidRPr="005A4A7A">
        <w:rPr>
          <w:rFonts w:ascii="Arial" w:hAnsi="Arial" w:cs="Arial"/>
          <w:spacing w:val="-2"/>
          <w:sz w:val="22"/>
          <w:szCs w:val="22"/>
        </w:rPr>
        <w:t xml:space="preserve">In any business sale, verify the status of the buying and selling entities through the </w:t>
      </w:r>
      <w:proofErr w:type="gramStart"/>
      <w:r w:rsidRPr="005A4A7A">
        <w:rPr>
          <w:rFonts w:ascii="Arial" w:hAnsi="Arial" w:cs="Arial"/>
          <w:spacing w:val="-2"/>
          <w:sz w:val="22"/>
          <w:szCs w:val="22"/>
        </w:rPr>
        <w:t>appropriate division</w:t>
      </w:r>
      <w:proofErr w:type="gramEnd"/>
      <w:r w:rsidRPr="005A4A7A">
        <w:rPr>
          <w:rFonts w:ascii="Arial" w:hAnsi="Arial" w:cs="Arial"/>
          <w:spacing w:val="-2"/>
          <w:sz w:val="22"/>
          <w:szCs w:val="22"/>
        </w:rPr>
        <w:t xml:space="preserve"> of the Secretary of State of each company</w:t>
      </w:r>
      <w:r w:rsidR="00163FE1" w:rsidRPr="005A4A7A">
        <w:rPr>
          <w:rFonts w:ascii="Arial" w:hAnsi="Arial" w:cs="Arial"/>
          <w:spacing w:val="-2"/>
          <w:sz w:val="22"/>
          <w:szCs w:val="22"/>
        </w:rPr>
        <w:t>’</w:t>
      </w:r>
      <w:r w:rsidRPr="005A4A7A">
        <w:rPr>
          <w:rFonts w:ascii="Arial" w:hAnsi="Arial" w:cs="Arial"/>
          <w:spacing w:val="-2"/>
          <w:sz w:val="22"/>
          <w:szCs w:val="22"/>
        </w:rPr>
        <w:t xml:space="preserve">s incorporation/organization state and any state in which the company </w:t>
      </w:r>
      <w:proofErr w:type="gramStart"/>
      <w:r w:rsidRPr="005A4A7A">
        <w:rPr>
          <w:rFonts w:ascii="Arial" w:hAnsi="Arial" w:cs="Arial"/>
          <w:spacing w:val="-2"/>
          <w:sz w:val="22"/>
          <w:szCs w:val="22"/>
        </w:rPr>
        <w:t>is registered</w:t>
      </w:r>
      <w:proofErr w:type="gramEnd"/>
      <w:r w:rsidRPr="005A4A7A">
        <w:rPr>
          <w:rFonts w:ascii="Arial" w:hAnsi="Arial" w:cs="Arial"/>
          <w:spacing w:val="-2"/>
          <w:sz w:val="22"/>
          <w:szCs w:val="22"/>
        </w:rPr>
        <w:t xml:space="preserve"> to conduct business.</w:t>
      </w:r>
      <w:r w:rsidR="00163FE1" w:rsidRPr="005A4A7A">
        <w:rPr>
          <w:rFonts w:ascii="Arial" w:hAnsi="Arial" w:cs="Arial"/>
          <w:spacing w:val="-2"/>
          <w:sz w:val="22"/>
          <w:szCs w:val="22"/>
        </w:rPr>
        <w:t xml:space="preserve"> </w:t>
      </w:r>
    </w:p>
    <w:p w14:paraId="03667F24" w14:textId="06D4601F" w:rsidR="00ED6A8D" w:rsidRPr="005A4A7A" w:rsidRDefault="00ED6A8D" w:rsidP="007F599D">
      <w:pPr>
        <w:numPr>
          <w:ilvl w:val="0"/>
          <w:numId w:val="10"/>
        </w:numPr>
        <w:tabs>
          <w:tab w:val="left" w:pos="-720"/>
          <w:tab w:val="left" w:pos="0"/>
        </w:tabs>
        <w:suppressAutoHyphens/>
        <w:spacing w:after="120" w:line="240" w:lineRule="exact"/>
        <w:ind w:left="360"/>
        <w:rPr>
          <w:rFonts w:ascii="Arial" w:hAnsi="Arial" w:cs="Arial"/>
          <w:spacing w:val="-2"/>
          <w:sz w:val="22"/>
          <w:szCs w:val="22"/>
        </w:rPr>
      </w:pPr>
      <w:r w:rsidRPr="005A4A7A">
        <w:rPr>
          <w:rFonts w:ascii="Arial" w:hAnsi="Arial" w:cs="Arial"/>
          <w:spacing w:val="-2"/>
          <w:sz w:val="22"/>
          <w:szCs w:val="22"/>
        </w:rPr>
        <w:t xml:space="preserve">Document your due diligence if stock is being </w:t>
      </w:r>
      <w:proofErr w:type="gramStart"/>
      <w:r w:rsidRPr="005A4A7A">
        <w:rPr>
          <w:rFonts w:ascii="Arial" w:hAnsi="Arial" w:cs="Arial"/>
          <w:spacing w:val="-2"/>
          <w:sz w:val="22"/>
          <w:szCs w:val="22"/>
        </w:rPr>
        <w:t>purchased</w:t>
      </w:r>
      <w:proofErr w:type="gramEnd"/>
      <w:r w:rsidRPr="005A4A7A">
        <w:rPr>
          <w:rFonts w:ascii="Arial" w:hAnsi="Arial" w:cs="Arial"/>
          <w:spacing w:val="-2"/>
          <w:sz w:val="22"/>
          <w:szCs w:val="22"/>
        </w:rPr>
        <w:t xml:space="preserve"> or notes are being issued by your client.</w:t>
      </w:r>
      <w:r w:rsidR="00163FE1" w:rsidRPr="005A4A7A">
        <w:rPr>
          <w:rFonts w:ascii="Arial" w:hAnsi="Arial" w:cs="Arial"/>
          <w:spacing w:val="-2"/>
          <w:sz w:val="22"/>
          <w:szCs w:val="22"/>
        </w:rPr>
        <w:t xml:space="preserve"> </w:t>
      </w:r>
      <w:r w:rsidRPr="005A4A7A">
        <w:rPr>
          <w:rFonts w:ascii="Arial" w:hAnsi="Arial" w:cs="Arial"/>
          <w:i/>
          <w:spacing w:val="-2"/>
          <w:sz w:val="22"/>
          <w:szCs w:val="22"/>
        </w:rPr>
        <w:t xml:space="preserve">See, </w:t>
      </w:r>
      <w:r w:rsidRPr="005A4A7A">
        <w:rPr>
          <w:rFonts w:ascii="Arial" w:hAnsi="Arial" w:cs="Arial"/>
          <w:spacing w:val="-2"/>
          <w:sz w:val="22"/>
          <w:szCs w:val="22"/>
        </w:rPr>
        <w:t xml:space="preserve">Considerations in the Sale or Acquisition of a Small Business, </w:t>
      </w:r>
      <w:r w:rsidRPr="005A4A7A">
        <w:rPr>
          <w:rFonts w:ascii="Arial" w:hAnsi="Arial" w:cs="Arial"/>
          <w:i/>
          <w:spacing w:val="-2"/>
          <w:sz w:val="22"/>
          <w:szCs w:val="22"/>
        </w:rPr>
        <w:t>infra</w:t>
      </w:r>
      <w:r w:rsidRPr="005A4A7A">
        <w:rPr>
          <w:rFonts w:ascii="Arial" w:hAnsi="Arial" w:cs="Arial"/>
          <w:spacing w:val="-2"/>
          <w:sz w:val="22"/>
          <w:szCs w:val="22"/>
        </w:rPr>
        <w:t>.</w:t>
      </w:r>
      <w:r w:rsidR="00163FE1" w:rsidRPr="005A4A7A">
        <w:rPr>
          <w:rFonts w:ascii="Arial" w:hAnsi="Arial" w:cs="Arial"/>
          <w:spacing w:val="-2"/>
          <w:sz w:val="22"/>
          <w:szCs w:val="22"/>
        </w:rPr>
        <w:t xml:space="preserve"> </w:t>
      </w:r>
      <w:r w:rsidRPr="005A4A7A">
        <w:rPr>
          <w:rFonts w:ascii="Arial" w:hAnsi="Arial" w:cs="Arial"/>
          <w:spacing w:val="-2"/>
          <w:sz w:val="22"/>
          <w:szCs w:val="22"/>
        </w:rPr>
        <w:t xml:space="preserve">In all other cases, confirm </w:t>
      </w:r>
      <w:r w:rsidR="00993E8A">
        <w:rPr>
          <w:rFonts w:ascii="Arial" w:hAnsi="Arial" w:cs="Arial"/>
          <w:spacing w:val="-2"/>
          <w:sz w:val="22"/>
          <w:szCs w:val="22"/>
        </w:rPr>
        <w:t xml:space="preserve">your </w:t>
      </w:r>
      <w:r w:rsidRPr="005A4A7A">
        <w:rPr>
          <w:rFonts w:ascii="Arial" w:hAnsi="Arial" w:cs="Arial"/>
          <w:spacing w:val="-2"/>
          <w:sz w:val="22"/>
          <w:szCs w:val="22"/>
        </w:rPr>
        <w:t>responsibility for due diligence review.</w:t>
      </w:r>
      <w:r w:rsidR="00163FE1" w:rsidRPr="005A4A7A">
        <w:rPr>
          <w:rFonts w:ascii="Arial" w:hAnsi="Arial" w:cs="Arial"/>
          <w:spacing w:val="-2"/>
          <w:sz w:val="22"/>
          <w:szCs w:val="22"/>
        </w:rPr>
        <w:t xml:space="preserve"> </w:t>
      </w:r>
      <w:r w:rsidRPr="005A4A7A">
        <w:rPr>
          <w:rFonts w:ascii="Arial" w:hAnsi="Arial" w:cs="Arial"/>
          <w:spacing w:val="-2"/>
          <w:sz w:val="22"/>
          <w:szCs w:val="22"/>
        </w:rPr>
        <w:t>Do not undertake blanket due dili</w:t>
      </w:r>
      <w:r w:rsidR="001E3B99" w:rsidRPr="005A4A7A">
        <w:rPr>
          <w:rFonts w:ascii="Arial" w:hAnsi="Arial" w:cs="Arial"/>
          <w:spacing w:val="-2"/>
          <w:sz w:val="22"/>
          <w:szCs w:val="22"/>
        </w:rPr>
        <w:t>gence on behalf of your client. I</w:t>
      </w:r>
      <w:r w:rsidRPr="005A4A7A">
        <w:rPr>
          <w:rFonts w:ascii="Arial" w:hAnsi="Arial" w:cs="Arial"/>
          <w:spacing w:val="-2"/>
          <w:sz w:val="22"/>
          <w:szCs w:val="22"/>
        </w:rPr>
        <w:t xml:space="preserve">nstead, </w:t>
      </w:r>
      <w:proofErr w:type="gramStart"/>
      <w:r w:rsidRPr="005A4A7A">
        <w:rPr>
          <w:rFonts w:ascii="Arial" w:hAnsi="Arial" w:cs="Arial"/>
          <w:spacing w:val="-2"/>
          <w:sz w:val="22"/>
          <w:szCs w:val="22"/>
        </w:rPr>
        <w:t>determ</w:t>
      </w:r>
      <w:r w:rsidR="001E3B99" w:rsidRPr="005A4A7A">
        <w:rPr>
          <w:rFonts w:ascii="Arial" w:hAnsi="Arial" w:cs="Arial"/>
          <w:spacing w:val="-2"/>
          <w:sz w:val="22"/>
          <w:szCs w:val="22"/>
        </w:rPr>
        <w:t>ine</w:t>
      </w:r>
      <w:proofErr w:type="gramEnd"/>
      <w:r w:rsidR="001E3B99" w:rsidRPr="005A4A7A">
        <w:rPr>
          <w:rFonts w:ascii="Arial" w:hAnsi="Arial" w:cs="Arial"/>
          <w:spacing w:val="-2"/>
          <w:sz w:val="22"/>
          <w:szCs w:val="22"/>
        </w:rPr>
        <w:t xml:space="preserve"> what the client, their </w:t>
      </w:r>
      <w:r w:rsidRPr="005A4A7A">
        <w:rPr>
          <w:rFonts w:ascii="Arial" w:hAnsi="Arial" w:cs="Arial"/>
          <w:spacing w:val="-2"/>
          <w:sz w:val="22"/>
          <w:szCs w:val="22"/>
        </w:rPr>
        <w:t>accountant, any other professional advisors, and you will do and document your scope of work (and exclusions) clearly.</w:t>
      </w:r>
    </w:p>
    <w:p w14:paraId="66440565" w14:textId="12BCFE99" w:rsidR="00D93CC8" w:rsidRPr="005A4A7A" w:rsidRDefault="00D93CC8" w:rsidP="007F599D">
      <w:pPr>
        <w:numPr>
          <w:ilvl w:val="0"/>
          <w:numId w:val="10"/>
        </w:numPr>
        <w:tabs>
          <w:tab w:val="left" w:pos="-720"/>
          <w:tab w:val="left" w:pos="0"/>
        </w:tabs>
        <w:suppressAutoHyphens/>
        <w:spacing w:after="120" w:line="240" w:lineRule="exact"/>
        <w:ind w:left="360"/>
        <w:rPr>
          <w:rFonts w:ascii="Arial" w:hAnsi="Arial" w:cs="Arial"/>
          <w:spacing w:val="-2"/>
          <w:sz w:val="22"/>
          <w:szCs w:val="22"/>
        </w:rPr>
      </w:pPr>
      <w:r w:rsidRPr="005A4A7A">
        <w:rPr>
          <w:rFonts w:ascii="Arial" w:hAnsi="Arial" w:cs="Arial"/>
          <w:spacing w:val="-2"/>
          <w:sz w:val="22"/>
          <w:szCs w:val="22"/>
        </w:rPr>
        <w:t xml:space="preserve">If real </w:t>
      </w:r>
      <w:r w:rsidR="00CD66D1">
        <w:rPr>
          <w:rFonts w:ascii="Arial" w:hAnsi="Arial" w:cs="Arial"/>
          <w:spacing w:val="-2"/>
          <w:sz w:val="22"/>
          <w:szCs w:val="22"/>
        </w:rPr>
        <w:t>property</w:t>
      </w:r>
      <w:r w:rsidRPr="005A4A7A">
        <w:rPr>
          <w:rFonts w:ascii="Arial" w:hAnsi="Arial" w:cs="Arial"/>
          <w:spacing w:val="-2"/>
          <w:sz w:val="22"/>
          <w:szCs w:val="22"/>
        </w:rPr>
        <w:t xml:space="preserve"> is part of the transaction, investigate the environmental status of the real </w:t>
      </w:r>
      <w:r w:rsidR="00CD66D1">
        <w:rPr>
          <w:rFonts w:ascii="Arial" w:hAnsi="Arial" w:cs="Arial"/>
          <w:spacing w:val="-2"/>
          <w:sz w:val="22"/>
          <w:szCs w:val="22"/>
        </w:rPr>
        <w:t>property</w:t>
      </w:r>
      <w:r w:rsidRPr="005A4A7A">
        <w:rPr>
          <w:rFonts w:ascii="Arial" w:hAnsi="Arial" w:cs="Arial"/>
          <w:spacing w:val="-2"/>
          <w:sz w:val="22"/>
          <w:szCs w:val="22"/>
        </w:rPr>
        <w:t xml:space="preserve"> and whether </w:t>
      </w:r>
      <w:r w:rsidR="00CD66D1">
        <w:rPr>
          <w:rFonts w:ascii="Arial" w:hAnsi="Arial" w:cs="Arial"/>
          <w:spacing w:val="-2"/>
          <w:sz w:val="22"/>
          <w:szCs w:val="22"/>
        </w:rPr>
        <w:t>it</w:t>
      </w:r>
      <w:r w:rsidRPr="005A4A7A">
        <w:rPr>
          <w:rFonts w:ascii="Arial" w:hAnsi="Arial" w:cs="Arial"/>
          <w:spacing w:val="-2"/>
          <w:sz w:val="22"/>
          <w:szCs w:val="22"/>
        </w:rPr>
        <w:t xml:space="preserve"> can </w:t>
      </w:r>
      <w:proofErr w:type="gramStart"/>
      <w:r w:rsidRPr="005A4A7A">
        <w:rPr>
          <w:rFonts w:ascii="Arial" w:hAnsi="Arial" w:cs="Arial"/>
          <w:spacing w:val="-2"/>
          <w:sz w:val="22"/>
          <w:szCs w:val="22"/>
        </w:rPr>
        <w:t>be used</w:t>
      </w:r>
      <w:proofErr w:type="gramEnd"/>
      <w:r w:rsidRPr="005A4A7A">
        <w:rPr>
          <w:rFonts w:ascii="Arial" w:hAnsi="Arial" w:cs="Arial"/>
          <w:spacing w:val="-2"/>
          <w:sz w:val="22"/>
          <w:szCs w:val="22"/>
        </w:rPr>
        <w:t xml:space="preserve"> for its intended purpose</w:t>
      </w:r>
      <w:r w:rsidR="00653F3C" w:rsidRPr="005A4A7A">
        <w:rPr>
          <w:rFonts w:ascii="Arial" w:hAnsi="Arial" w:cs="Arial"/>
          <w:spacing w:val="-2"/>
          <w:sz w:val="22"/>
          <w:szCs w:val="22"/>
        </w:rPr>
        <w:t xml:space="preserve"> (b</w:t>
      </w:r>
      <w:r w:rsidR="001B0CF9" w:rsidRPr="005A4A7A">
        <w:rPr>
          <w:rFonts w:ascii="Arial" w:hAnsi="Arial" w:cs="Arial"/>
          <w:spacing w:val="-2"/>
          <w:sz w:val="22"/>
          <w:szCs w:val="22"/>
        </w:rPr>
        <w:t>e extremely cautious</w:t>
      </w:r>
      <w:r w:rsidR="00653F3C" w:rsidRPr="005A4A7A">
        <w:rPr>
          <w:rFonts w:ascii="Arial" w:hAnsi="Arial" w:cs="Arial"/>
          <w:spacing w:val="-2"/>
          <w:sz w:val="22"/>
          <w:szCs w:val="22"/>
        </w:rPr>
        <w:t>, however,</w:t>
      </w:r>
      <w:r w:rsidR="001B0CF9" w:rsidRPr="005A4A7A">
        <w:rPr>
          <w:rFonts w:ascii="Arial" w:hAnsi="Arial" w:cs="Arial"/>
          <w:spacing w:val="-2"/>
          <w:sz w:val="22"/>
          <w:szCs w:val="22"/>
        </w:rPr>
        <w:t xml:space="preserve"> about </w:t>
      </w:r>
      <w:r w:rsidR="00653F3C" w:rsidRPr="005A4A7A">
        <w:rPr>
          <w:rFonts w:ascii="Arial" w:hAnsi="Arial" w:cs="Arial"/>
          <w:spacing w:val="-2"/>
          <w:sz w:val="22"/>
          <w:szCs w:val="22"/>
        </w:rPr>
        <w:t>providing an opini</w:t>
      </w:r>
      <w:r w:rsidR="001B0CF9" w:rsidRPr="005A4A7A">
        <w:rPr>
          <w:rFonts w:ascii="Arial" w:hAnsi="Arial" w:cs="Arial"/>
          <w:spacing w:val="-2"/>
          <w:sz w:val="22"/>
          <w:szCs w:val="22"/>
        </w:rPr>
        <w:t>on on permissib</w:t>
      </w:r>
      <w:r w:rsidR="00653F3C" w:rsidRPr="005A4A7A">
        <w:rPr>
          <w:rFonts w:ascii="Arial" w:hAnsi="Arial" w:cs="Arial"/>
          <w:spacing w:val="-2"/>
          <w:sz w:val="22"/>
          <w:szCs w:val="22"/>
        </w:rPr>
        <w:t xml:space="preserve">le </w:t>
      </w:r>
      <w:r w:rsidR="001B0CF9" w:rsidRPr="005A4A7A">
        <w:rPr>
          <w:rFonts w:ascii="Arial" w:hAnsi="Arial" w:cs="Arial"/>
          <w:spacing w:val="-2"/>
          <w:sz w:val="22"/>
          <w:szCs w:val="22"/>
        </w:rPr>
        <w:t>land use</w:t>
      </w:r>
      <w:r w:rsidR="00653F3C" w:rsidRPr="005A4A7A">
        <w:rPr>
          <w:rFonts w:ascii="Arial" w:hAnsi="Arial" w:cs="Arial"/>
          <w:spacing w:val="-2"/>
          <w:sz w:val="22"/>
          <w:szCs w:val="22"/>
        </w:rPr>
        <w:t>s unless this is your area of expertise</w:t>
      </w:r>
      <w:r w:rsidR="001B0CF9" w:rsidRPr="005A4A7A">
        <w:rPr>
          <w:rFonts w:ascii="Arial" w:hAnsi="Arial" w:cs="Arial"/>
          <w:spacing w:val="-2"/>
          <w:sz w:val="22"/>
          <w:szCs w:val="22"/>
        </w:rPr>
        <w:t>)</w:t>
      </w:r>
      <w:r w:rsidR="00653F3C" w:rsidRPr="005A4A7A">
        <w:rPr>
          <w:rFonts w:ascii="Arial" w:hAnsi="Arial" w:cs="Arial"/>
          <w:spacing w:val="-2"/>
          <w:sz w:val="22"/>
          <w:szCs w:val="22"/>
        </w:rPr>
        <w:t>.</w:t>
      </w:r>
      <w:r w:rsidRPr="005A4A7A">
        <w:rPr>
          <w:rFonts w:ascii="Arial" w:hAnsi="Arial" w:cs="Arial"/>
          <w:spacing w:val="-2"/>
          <w:sz w:val="22"/>
          <w:szCs w:val="22"/>
        </w:rPr>
        <w:t xml:space="preserve"> Be sure you obtain and review all</w:t>
      </w:r>
      <w:r w:rsidR="00653F3C" w:rsidRPr="005A4A7A">
        <w:rPr>
          <w:rFonts w:ascii="Arial" w:hAnsi="Arial" w:cs="Arial"/>
          <w:spacing w:val="-2"/>
          <w:sz w:val="22"/>
          <w:szCs w:val="22"/>
        </w:rPr>
        <w:t xml:space="preserve"> encumbrances and</w:t>
      </w:r>
      <w:r w:rsidRPr="005A4A7A">
        <w:rPr>
          <w:rFonts w:ascii="Arial" w:hAnsi="Arial" w:cs="Arial"/>
          <w:spacing w:val="-2"/>
          <w:sz w:val="22"/>
          <w:szCs w:val="22"/>
        </w:rPr>
        <w:t xml:space="preserve"> </w:t>
      </w:r>
      <w:r w:rsidR="00653F3C" w:rsidRPr="005A4A7A">
        <w:rPr>
          <w:rFonts w:ascii="Arial" w:hAnsi="Arial" w:cs="Arial"/>
          <w:spacing w:val="-2"/>
          <w:sz w:val="22"/>
          <w:szCs w:val="22"/>
        </w:rPr>
        <w:t>any other</w:t>
      </w:r>
      <w:r w:rsidRPr="005A4A7A">
        <w:rPr>
          <w:rFonts w:ascii="Arial" w:hAnsi="Arial" w:cs="Arial"/>
          <w:spacing w:val="-2"/>
          <w:sz w:val="22"/>
          <w:szCs w:val="22"/>
        </w:rPr>
        <w:t xml:space="preserve"> exceptions on </w:t>
      </w:r>
      <w:r w:rsidR="00653F3C" w:rsidRPr="005A4A7A">
        <w:rPr>
          <w:rFonts w:ascii="Arial" w:hAnsi="Arial" w:cs="Arial"/>
          <w:spacing w:val="-2"/>
          <w:sz w:val="22"/>
          <w:szCs w:val="22"/>
        </w:rPr>
        <w:t>a</w:t>
      </w:r>
      <w:r w:rsidRPr="005A4A7A">
        <w:rPr>
          <w:rFonts w:ascii="Arial" w:hAnsi="Arial" w:cs="Arial"/>
          <w:spacing w:val="-2"/>
          <w:sz w:val="22"/>
          <w:szCs w:val="22"/>
        </w:rPr>
        <w:t xml:space="preserve"> Preliminary Title Report.</w:t>
      </w:r>
      <w:r w:rsidR="00993E8A">
        <w:rPr>
          <w:rFonts w:ascii="Arial" w:hAnsi="Arial" w:cs="Arial"/>
          <w:spacing w:val="-2"/>
          <w:sz w:val="22"/>
          <w:szCs w:val="22"/>
        </w:rPr>
        <w:t xml:space="preserve"> </w:t>
      </w:r>
      <w:r w:rsidR="00993E8A" w:rsidRPr="00993E8A">
        <w:rPr>
          <w:rFonts w:ascii="Arial" w:hAnsi="Arial" w:cs="Arial"/>
          <w:spacing w:val="-2"/>
          <w:sz w:val="22"/>
          <w:szCs w:val="22"/>
        </w:rPr>
        <w:t xml:space="preserve">After reviewing the relevant paperwork associated with the real </w:t>
      </w:r>
      <w:r w:rsidR="00CD66D1">
        <w:rPr>
          <w:rFonts w:ascii="Arial" w:hAnsi="Arial" w:cs="Arial"/>
          <w:spacing w:val="-2"/>
          <w:sz w:val="22"/>
          <w:szCs w:val="22"/>
        </w:rPr>
        <w:t>property</w:t>
      </w:r>
      <w:r w:rsidR="00993E8A" w:rsidRPr="00993E8A">
        <w:rPr>
          <w:rFonts w:ascii="Arial" w:hAnsi="Arial" w:cs="Arial"/>
          <w:spacing w:val="-2"/>
          <w:sz w:val="22"/>
          <w:szCs w:val="22"/>
        </w:rPr>
        <w:t>, visit</w:t>
      </w:r>
      <w:r w:rsidR="00CD66D1">
        <w:rPr>
          <w:rFonts w:ascii="Arial" w:hAnsi="Arial" w:cs="Arial"/>
          <w:spacing w:val="-2"/>
          <w:sz w:val="22"/>
          <w:szCs w:val="22"/>
        </w:rPr>
        <w:t xml:space="preserve"> the property (to the extent </w:t>
      </w:r>
      <w:proofErr w:type="gramStart"/>
      <w:r w:rsidR="00CD66D1">
        <w:rPr>
          <w:rFonts w:ascii="Arial" w:hAnsi="Arial" w:cs="Arial"/>
          <w:spacing w:val="-2"/>
          <w:sz w:val="22"/>
          <w:szCs w:val="22"/>
        </w:rPr>
        <w:t>practicable</w:t>
      </w:r>
      <w:proofErr w:type="gramEnd"/>
      <w:r w:rsidR="00CD66D1">
        <w:rPr>
          <w:rFonts w:ascii="Arial" w:hAnsi="Arial" w:cs="Arial"/>
          <w:spacing w:val="-2"/>
          <w:sz w:val="22"/>
          <w:szCs w:val="22"/>
        </w:rPr>
        <w:t xml:space="preserve">) to ensure the documents correspond to what is </w:t>
      </w:r>
      <w:proofErr w:type="gramStart"/>
      <w:r w:rsidR="00CD66D1">
        <w:rPr>
          <w:rFonts w:ascii="Arial" w:hAnsi="Arial" w:cs="Arial"/>
          <w:spacing w:val="-2"/>
          <w:sz w:val="22"/>
          <w:szCs w:val="22"/>
        </w:rPr>
        <w:t>actually present</w:t>
      </w:r>
      <w:proofErr w:type="gramEnd"/>
      <w:r w:rsidR="00CD66D1">
        <w:rPr>
          <w:rFonts w:ascii="Arial" w:hAnsi="Arial" w:cs="Arial"/>
          <w:spacing w:val="-2"/>
          <w:sz w:val="22"/>
          <w:szCs w:val="22"/>
        </w:rPr>
        <w:t>.</w:t>
      </w:r>
    </w:p>
    <w:p w14:paraId="5BC97530" w14:textId="16C5BC98" w:rsidR="00D93CC8" w:rsidRPr="005A4A7A" w:rsidRDefault="00D93CC8" w:rsidP="007F599D">
      <w:pPr>
        <w:numPr>
          <w:ilvl w:val="0"/>
          <w:numId w:val="10"/>
        </w:numPr>
        <w:tabs>
          <w:tab w:val="left" w:pos="-720"/>
          <w:tab w:val="left" w:pos="0"/>
        </w:tabs>
        <w:suppressAutoHyphens/>
        <w:spacing w:after="120" w:line="240" w:lineRule="exact"/>
        <w:ind w:left="360"/>
        <w:rPr>
          <w:rFonts w:ascii="Arial" w:hAnsi="Arial" w:cs="Arial"/>
          <w:spacing w:val="-2"/>
          <w:sz w:val="22"/>
          <w:szCs w:val="22"/>
        </w:rPr>
      </w:pPr>
      <w:r w:rsidRPr="005A4A7A">
        <w:rPr>
          <w:rFonts w:ascii="Arial" w:hAnsi="Arial" w:cs="Arial"/>
          <w:spacing w:val="-2"/>
          <w:sz w:val="22"/>
          <w:szCs w:val="22"/>
        </w:rPr>
        <w:t xml:space="preserve">Check for interests of other parties or </w:t>
      </w:r>
      <w:proofErr w:type="gramStart"/>
      <w:r w:rsidRPr="005A4A7A">
        <w:rPr>
          <w:rFonts w:ascii="Arial" w:hAnsi="Arial" w:cs="Arial"/>
          <w:spacing w:val="-2"/>
          <w:sz w:val="22"/>
          <w:szCs w:val="22"/>
        </w:rPr>
        <w:t>liens</w:t>
      </w:r>
      <w:proofErr w:type="gramEnd"/>
      <w:r w:rsidRPr="005A4A7A">
        <w:rPr>
          <w:rFonts w:ascii="Arial" w:hAnsi="Arial" w:cs="Arial"/>
          <w:spacing w:val="-2"/>
          <w:sz w:val="22"/>
          <w:szCs w:val="22"/>
        </w:rPr>
        <w:t>, whether real or personal property</w:t>
      </w:r>
      <w:r w:rsidR="00993E8A">
        <w:rPr>
          <w:rFonts w:ascii="Arial" w:hAnsi="Arial" w:cs="Arial"/>
          <w:spacing w:val="-2"/>
          <w:sz w:val="22"/>
          <w:szCs w:val="22"/>
        </w:rPr>
        <w:t xml:space="preserve"> is part of the transaction</w:t>
      </w:r>
      <w:r w:rsidRPr="005A4A7A">
        <w:rPr>
          <w:rFonts w:ascii="Arial" w:hAnsi="Arial" w:cs="Arial"/>
          <w:spacing w:val="-2"/>
          <w:sz w:val="22"/>
          <w:szCs w:val="22"/>
        </w:rPr>
        <w:t>.</w:t>
      </w:r>
      <w:r w:rsidR="00163FE1" w:rsidRPr="005A4A7A">
        <w:rPr>
          <w:rFonts w:ascii="Arial" w:hAnsi="Arial" w:cs="Arial"/>
          <w:spacing w:val="-2"/>
          <w:sz w:val="22"/>
          <w:szCs w:val="22"/>
        </w:rPr>
        <w:t xml:space="preserve"> </w:t>
      </w:r>
      <w:r w:rsidR="001B0CF9" w:rsidRPr="005A4A7A">
        <w:rPr>
          <w:rFonts w:ascii="Arial" w:hAnsi="Arial" w:cs="Arial"/>
          <w:spacing w:val="-2"/>
          <w:sz w:val="22"/>
          <w:szCs w:val="22"/>
        </w:rPr>
        <w:t xml:space="preserve">Conduct relevant state </w:t>
      </w:r>
      <w:proofErr w:type="spellStart"/>
      <w:r w:rsidR="001B0CF9" w:rsidRPr="005A4A7A">
        <w:rPr>
          <w:rFonts w:ascii="Arial" w:hAnsi="Arial" w:cs="Arial"/>
          <w:spacing w:val="-2"/>
          <w:sz w:val="22"/>
          <w:szCs w:val="22"/>
        </w:rPr>
        <w:t>UCC</w:t>
      </w:r>
      <w:proofErr w:type="spellEnd"/>
      <w:r w:rsidR="001B0CF9" w:rsidRPr="005A4A7A">
        <w:rPr>
          <w:rFonts w:ascii="Arial" w:hAnsi="Arial" w:cs="Arial"/>
          <w:spacing w:val="-2"/>
          <w:sz w:val="22"/>
          <w:szCs w:val="22"/>
        </w:rPr>
        <w:t xml:space="preserve"> searches on the target company </w:t>
      </w:r>
      <w:r w:rsidR="00993E8A">
        <w:rPr>
          <w:rFonts w:ascii="Arial" w:hAnsi="Arial" w:cs="Arial"/>
          <w:spacing w:val="-2"/>
          <w:sz w:val="22"/>
          <w:szCs w:val="22"/>
        </w:rPr>
        <w:t xml:space="preserve">regarding </w:t>
      </w:r>
      <w:r w:rsidR="001B0CF9" w:rsidRPr="005A4A7A">
        <w:rPr>
          <w:rFonts w:ascii="Arial" w:hAnsi="Arial" w:cs="Arial"/>
          <w:spacing w:val="-2"/>
          <w:sz w:val="22"/>
          <w:szCs w:val="22"/>
        </w:rPr>
        <w:t xml:space="preserve">whether you </w:t>
      </w:r>
      <w:proofErr w:type="gramStart"/>
      <w:r w:rsidR="001B0CF9" w:rsidRPr="005A4A7A">
        <w:rPr>
          <w:rFonts w:ascii="Arial" w:hAnsi="Arial" w:cs="Arial"/>
          <w:spacing w:val="-2"/>
          <w:sz w:val="22"/>
          <w:szCs w:val="22"/>
        </w:rPr>
        <w:t>represent</w:t>
      </w:r>
      <w:proofErr w:type="gramEnd"/>
      <w:r w:rsidR="001B0CF9" w:rsidRPr="005A4A7A">
        <w:rPr>
          <w:rFonts w:ascii="Arial" w:hAnsi="Arial" w:cs="Arial"/>
          <w:spacing w:val="-2"/>
          <w:sz w:val="22"/>
          <w:szCs w:val="22"/>
        </w:rPr>
        <w:t xml:space="preserve"> the seller or the buyer.</w:t>
      </w:r>
    </w:p>
    <w:p w14:paraId="0269F326" w14:textId="24A5A677" w:rsidR="00D93CC8" w:rsidRPr="005A4A7A" w:rsidRDefault="00D93CC8" w:rsidP="007F599D">
      <w:pPr>
        <w:numPr>
          <w:ilvl w:val="0"/>
          <w:numId w:val="10"/>
        </w:numPr>
        <w:tabs>
          <w:tab w:val="left" w:pos="-720"/>
          <w:tab w:val="left" w:pos="0"/>
        </w:tabs>
        <w:suppressAutoHyphens/>
        <w:spacing w:after="120" w:line="240" w:lineRule="exact"/>
        <w:ind w:left="360"/>
        <w:rPr>
          <w:rFonts w:ascii="Arial" w:hAnsi="Arial" w:cs="Arial"/>
          <w:spacing w:val="-2"/>
          <w:sz w:val="22"/>
          <w:szCs w:val="22"/>
        </w:rPr>
      </w:pPr>
      <w:proofErr w:type="gramStart"/>
      <w:r w:rsidRPr="005A4A7A">
        <w:rPr>
          <w:rFonts w:ascii="Arial" w:hAnsi="Arial" w:cs="Arial"/>
          <w:spacing w:val="-2"/>
          <w:sz w:val="22"/>
          <w:szCs w:val="22"/>
        </w:rPr>
        <w:lastRenderedPageBreak/>
        <w:t>Check for</w:t>
      </w:r>
      <w:proofErr w:type="gramEnd"/>
      <w:r w:rsidRPr="005A4A7A">
        <w:rPr>
          <w:rFonts w:ascii="Arial" w:hAnsi="Arial" w:cs="Arial"/>
          <w:spacing w:val="-2"/>
          <w:sz w:val="22"/>
          <w:szCs w:val="22"/>
        </w:rPr>
        <w:t xml:space="preserve"> balloon payment and amortization schedules on senior contracts and notes when handling the resale of a business.</w:t>
      </w:r>
      <w:r w:rsidR="00163FE1" w:rsidRPr="005A4A7A">
        <w:rPr>
          <w:rFonts w:ascii="Arial" w:hAnsi="Arial" w:cs="Arial"/>
          <w:spacing w:val="-2"/>
          <w:sz w:val="22"/>
          <w:szCs w:val="22"/>
        </w:rPr>
        <w:t xml:space="preserve"> </w:t>
      </w:r>
      <w:r w:rsidRPr="005A4A7A">
        <w:rPr>
          <w:rFonts w:ascii="Arial" w:hAnsi="Arial" w:cs="Arial"/>
          <w:spacing w:val="-2"/>
          <w:sz w:val="22"/>
          <w:szCs w:val="22"/>
        </w:rPr>
        <w:t>If the seller is paying senior installment encumbrances and buyer is paying seller in installments, be sure the senior encumbrances will never exceed the unpaid balance of the purchase price.</w:t>
      </w:r>
      <w:r w:rsidR="00163FE1" w:rsidRPr="005A4A7A">
        <w:rPr>
          <w:rFonts w:ascii="Arial" w:hAnsi="Arial" w:cs="Arial"/>
          <w:spacing w:val="-2"/>
          <w:sz w:val="22"/>
          <w:szCs w:val="22"/>
        </w:rPr>
        <w:t xml:space="preserve"> </w:t>
      </w:r>
      <w:r w:rsidRPr="005A4A7A">
        <w:rPr>
          <w:rFonts w:ascii="Arial" w:hAnsi="Arial" w:cs="Arial"/>
          <w:spacing w:val="-2"/>
          <w:sz w:val="22"/>
          <w:szCs w:val="22"/>
        </w:rPr>
        <w:t>Check all underlying instruments in a transaction to make sure the sale in which you are involved does not trigger a due-on-sale clause, an interest rate adjustment, or run contrary to a non-assignability provision.</w:t>
      </w:r>
    </w:p>
    <w:p w14:paraId="18915E5B" w14:textId="428B5020" w:rsidR="00D93CC8" w:rsidRPr="005A4A7A" w:rsidRDefault="00D93CC8" w:rsidP="007F599D">
      <w:pPr>
        <w:numPr>
          <w:ilvl w:val="0"/>
          <w:numId w:val="10"/>
        </w:numPr>
        <w:tabs>
          <w:tab w:val="left" w:pos="-720"/>
          <w:tab w:val="left" w:pos="0"/>
        </w:tabs>
        <w:suppressAutoHyphens/>
        <w:spacing w:after="120" w:line="240" w:lineRule="exact"/>
        <w:ind w:left="360"/>
        <w:rPr>
          <w:rFonts w:ascii="Arial" w:hAnsi="Arial" w:cs="Arial"/>
          <w:spacing w:val="-2"/>
          <w:sz w:val="22"/>
          <w:szCs w:val="22"/>
        </w:rPr>
      </w:pPr>
      <w:proofErr w:type="gramStart"/>
      <w:r w:rsidRPr="005A4A7A">
        <w:rPr>
          <w:rFonts w:ascii="Arial" w:hAnsi="Arial" w:cs="Arial"/>
          <w:spacing w:val="-2"/>
          <w:sz w:val="22"/>
          <w:szCs w:val="22"/>
        </w:rPr>
        <w:t>Determine</w:t>
      </w:r>
      <w:proofErr w:type="gramEnd"/>
      <w:r w:rsidRPr="005A4A7A">
        <w:rPr>
          <w:rFonts w:ascii="Arial" w:hAnsi="Arial" w:cs="Arial"/>
          <w:spacing w:val="-2"/>
          <w:sz w:val="22"/>
          <w:szCs w:val="22"/>
        </w:rPr>
        <w:t xml:space="preserve"> what third-party consents </w:t>
      </w:r>
      <w:r w:rsidR="00BC5B8F" w:rsidRPr="005A4A7A">
        <w:rPr>
          <w:rFonts w:ascii="Arial" w:hAnsi="Arial" w:cs="Arial"/>
          <w:spacing w:val="-2"/>
          <w:sz w:val="22"/>
          <w:szCs w:val="22"/>
        </w:rPr>
        <w:t>(including</w:t>
      </w:r>
      <w:r w:rsidR="001B0CF9" w:rsidRPr="005A4A7A">
        <w:rPr>
          <w:rFonts w:ascii="Arial" w:hAnsi="Arial" w:cs="Arial"/>
          <w:spacing w:val="-2"/>
          <w:sz w:val="22"/>
          <w:szCs w:val="22"/>
        </w:rPr>
        <w:t xml:space="preserve"> from</w:t>
      </w:r>
      <w:r w:rsidR="00BC5B8F" w:rsidRPr="005A4A7A">
        <w:rPr>
          <w:rFonts w:ascii="Arial" w:hAnsi="Arial" w:cs="Arial"/>
          <w:spacing w:val="-2"/>
          <w:sz w:val="22"/>
          <w:szCs w:val="22"/>
        </w:rPr>
        <w:t xml:space="preserve"> lenders</w:t>
      </w:r>
      <w:r w:rsidR="001B0CF9" w:rsidRPr="005A4A7A">
        <w:rPr>
          <w:rFonts w:ascii="Arial" w:hAnsi="Arial" w:cs="Arial"/>
          <w:spacing w:val="-2"/>
          <w:sz w:val="22"/>
          <w:szCs w:val="22"/>
        </w:rPr>
        <w:t>, landlords, and key suppliers</w:t>
      </w:r>
      <w:r w:rsidR="00653F3C" w:rsidRPr="005A4A7A">
        <w:rPr>
          <w:rFonts w:ascii="Arial" w:hAnsi="Arial" w:cs="Arial"/>
          <w:spacing w:val="-2"/>
          <w:sz w:val="22"/>
          <w:szCs w:val="22"/>
        </w:rPr>
        <w:t>/vendors/contractors</w:t>
      </w:r>
      <w:r w:rsidR="001B0CF9" w:rsidRPr="005A4A7A">
        <w:rPr>
          <w:rFonts w:ascii="Arial" w:hAnsi="Arial" w:cs="Arial"/>
          <w:spacing w:val="-2"/>
          <w:sz w:val="22"/>
          <w:szCs w:val="22"/>
        </w:rPr>
        <w:t xml:space="preserve"> or customers</w:t>
      </w:r>
      <w:r w:rsidR="00BC5B8F" w:rsidRPr="005A4A7A">
        <w:rPr>
          <w:rFonts w:ascii="Arial" w:hAnsi="Arial" w:cs="Arial"/>
          <w:spacing w:val="-2"/>
          <w:sz w:val="22"/>
          <w:szCs w:val="22"/>
        </w:rPr>
        <w:t xml:space="preserve">) </w:t>
      </w:r>
      <w:r w:rsidRPr="005A4A7A">
        <w:rPr>
          <w:rFonts w:ascii="Arial" w:hAnsi="Arial" w:cs="Arial"/>
          <w:spacing w:val="-2"/>
          <w:sz w:val="22"/>
          <w:szCs w:val="22"/>
        </w:rPr>
        <w:t xml:space="preserve">are necessary to complete the </w:t>
      </w:r>
      <w:proofErr w:type="gramStart"/>
      <w:r w:rsidRPr="005A4A7A">
        <w:rPr>
          <w:rFonts w:ascii="Arial" w:hAnsi="Arial" w:cs="Arial"/>
          <w:spacing w:val="-2"/>
          <w:sz w:val="22"/>
          <w:szCs w:val="22"/>
        </w:rPr>
        <w:t>transaction, and</w:t>
      </w:r>
      <w:proofErr w:type="gramEnd"/>
      <w:r w:rsidRPr="005A4A7A">
        <w:rPr>
          <w:rFonts w:ascii="Arial" w:hAnsi="Arial" w:cs="Arial"/>
          <w:spacing w:val="-2"/>
          <w:sz w:val="22"/>
          <w:szCs w:val="22"/>
        </w:rPr>
        <w:t xml:space="preserve"> make closing the transaction contingent </w:t>
      </w:r>
      <w:r w:rsidR="007E42D8" w:rsidRPr="005A4A7A">
        <w:rPr>
          <w:rFonts w:ascii="Arial" w:hAnsi="Arial" w:cs="Arial"/>
          <w:spacing w:val="-2"/>
          <w:sz w:val="22"/>
          <w:szCs w:val="22"/>
        </w:rPr>
        <w:t>on</w:t>
      </w:r>
      <w:r w:rsidRPr="005A4A7A">
        <w:rPr>
          <w:rFonts w:ascii="Arial" w:hAnsi="Arial" w:cs="Arial"/>
          <w:spacing w:val="-2"/>
          <w:sz w:val="22"/>
          <w:szCs w:val="22"/>
        </w:rPr>
        <w:t xml:space="preserve"> obtaining </w:t>
      </w:r>
      <w:proofErr w:type="gramStart"/>
      <w:r w:rsidRPr="005A4A7A">
        <w:rPr>
          <w:rFonts w:ascii="Arial" w:hAnsi="Arial" w:cs="Arial"/>
          <w:spacing w:val="-2"/>
          <w:sz w:val="22"/>
          <w:szCs w:val="22"/>
        </w:rPr>
        <w:t>all of</w:t>
      </w:r>
      <w:proofErr w:type="gramEnd"/>
      <w:r w:rsidRPr="005A4A7A">
        <w:rPr>
          <w:rFonts w:ascii="Arial" w:hAnsi="Arial" w:cs="Arial"/>
          <w:spacing w:val="-2"/>
          <w:sz w:val="22"/>
          <w:szCs w:val="22"/>
        </w:rPr>
        <w:t xml:space="preserve"> the necessary consents.</w:t>
      </w:r>
    </w:p>
    <w:p w14:paraId="1D720940" w14:textId="6CFD57C2" w:rsidR="00D93CC8" w:rsidRPr="005A4A7A" w:rsidRDefault="00D93CC8" w:rsidP="007F599D">
      <w:pPr>
        <w:numPr>
          <w:ilvl w:val="0"/>
          <w:numId w:val="10"/>
        </w:numPr>
        <w:tabs>
          <w:tab w:val="left" w:pos="-720"/>
          <w:tab w:val="left" w:pos="0"/>
        </w:tabs>
        <w:suppressAutoHyphens/>
        <w:spacing w:after="120" w:line="240" w:lineRule="exact"/>
        <w:ind w:left="360"/>
        <w:rPr>
          <w:rFonts w:ascii="Arial" w:hAnsi="Arial" w:cs="Arial"/>
          <w:spacing w:val="-2"/>
          <w:sz w:val="22"/>
          <w:szCs w:val="22"/>
        </w:rPr>
      </w:pPr>
      <w:r w:rsidRPr="005A4A7A">
        <w:rPr>
          <w:rFonts w:ascii="Arial" w:hAnsi="Arial" w:cs="Arial"/>
          <w:spacing w:val="-2"/>
          <w:sz w:val="22"/>
          <w:szCs w:val="22"/>
        </w:rPr>
        <w:t>Be sure amendment or revision of documents does not destroy prior security interests or prior assignments unless intended.</w:t>
      </w:r>
    </w:p>
    <w:p w14:paraId="4AB2FE7B" w14:textId="1BADD406" w:rsidR="00D93CC8" w:rsidRPr="005A4A7A" w:rsidRDefault="00D93CC8" w:rsidP="007F599D">
      <w:pPr>
        <w:numPr>
          <w:ilvl w:val="0"/>
          <w:numId w:val="10"/>
        </w:numPr>
        <w:tabs>
          <w:tab w:val="left" w:pos="-720"/>
          <w:tab w:val="left" w:pos="0"/>
        </w:tabs>
        <w:suppressAutoHyphens/>
        <w:spacing w:after="120" w:line="240" w:lineRule="exact"/>
        <w:ind w:left="360"/>
        <w:rPr>
          <w:rFonts w:ascii="Arial" w:hAnsi="Arial" w:cs="Arial"/>
          <w:spacing w:val="-2"/>
          <w:sz w:val="22"/>
          <w:szCs w:val="22"/>
        </w:rPr>
      </w:pPr>
      <w:r w:rsidRPr="005A4A7A">
        <w:rPr>
          <w:rFonts w:ascii="Arial" w:hAnsi="Arial" w:cs="Arial"/>
          <w:spacing w:val="-2"/>
          <w:sz w:val="22"/>
          <w:szCs w:val="22"/>
        </w:rPr>
        <w:t>If any of the seller</w:t>
      </w:r>
      <w:r w:rsidR="00163FE1" w:rsidRPr="005A4A7A">
        <w:rPr>
          <w:rFonts w:ascii="Arial" w:hAnsi="Arial" w:cs="Arial"/>
          <w:spacing w:val="-2"/>
          <w:sz w:val="22"/>
          <w:szCs w:val="22"/>
        </w:rPr>
        <w:t>’</w:t>
      </w:r>
      <w:r w:rsidRPr="005A4A7A">
        <w:rPr>
          <w:rFonts w:ascii="Arial" w:hAnsi="Arial" w:cs="Arial"/>
          <w:spacing w:val="-2"/>
          <w:sz w:val="22"/>
          <w:szCs w:val="22"/>
        </w:rPr>
        <w:t>s employees will become employees of the buyer, determine what, if any, of seller</w:t>
      </w:r>
      <w:r w:rsidR="00163FE1" w:rsidRPr="005A4A7A">
        <w:rPr>
          <w:rFonts w:ascii="Arial" w:hAnsi="Arial" w:cs="Arial"/>
          <w:spacing w:val="-2"/>
          <w:sz w:val="22"/>
          <w:szCs w:val="22"/>
        </w:rPr>
        <w:t>’</w:t>
      </w:r>
      <w:r w:rsidRPr="005A4A7A">
        <w:rPr>
          <w:rFonts w:ascii="Arial" w:hAnsi="Arial" w:cs="Arial"/>
          <w:spacing w:val="-2"/>
          <w:sz w:val="22"/>
          <w:szCs w:val="22"/>
        </w:rPr>
        <w:t>s obligations to these employees</w:t>
      </w:r>
      <w:r w:rsidR="001B0CF9" w:rsidRPr="005A4A7A">
        <w:rPr>
          <w:rFonts w:ascii="Arial" w:hAnsi="Arial" w:cs="Arial"/>
          <w:spacing w:val="-2"/>
          <w:sz w:val="22"/>
          <w:szCs w:val="22"/>
        </w:rPr>
        <w:t xml:space="preserve"> (including contractual compensation, paid time off</w:t>
      </w:r>
      <w:r w:rsidR="00BE31D8" w:rsidRPr="005A4A7A">
        <w:rPr>
          <w:rFonts w:ascii="Arial" w:hAnsi="Arial" w:cs="Arial"/>
          <w:spacing w:val="-2"/>
          <w:sz w:val="22"/>
          <w:szCs w:val="22"/>
        </w:rPr>
        <w:t xml:space="preserve"> (</w:t>
      </w:r>
      <w:r w:rsidR="00163FE1" w:rsidRPr="005A4A7A">
        <w:rPr>
          <w:rFonts w:ascii="Arial" w:hAnsi="Arial" w:cs="Arial"/>
          <w:spacing w:val="-2"/>
          <w:sz w:val="22"/>
          <w:szCs w:val="22"/>
        </w:rPr>
        <w:t>“</w:t>
      </w:r>
      <w:r w:rsidR="00BE31D8" w:rsidRPr="005A4A7A">
        <w:rPr>
          <w:rFonts w:ascii="Arial" w:hAnsi="Arial" w:cs="Arial"/>
          <w:spacing w:val="-2"/>
          <w:sz w:val="22"/>
          <w:szCs w:val="22"/>
        </w:rPr>
        <w:t>PTO</w:t>
      </w:r>
      <w:r w:rsidR="00163FE1" w:rsidRPr="005A4A7A">
        <w:rPr>
          <w:rFonts w:ascii="Arial" w:hAnsi="Arial" w:cs="Arial"/>
          <w:spacing w:val="-2"/>
          <w:sz w:val="22"/>
          <w:szCs w:val="22"/>
        </w:rPr>
        <w:t>”</w:t>
      </w:r>
      <w:r w:rsidR="00BE31D8" w:rsidRPr="005A4A7A">
        <w:rPr>
          <w:rFonts w:ascii="Arial" w:hAnsi="Arial" w:cs="Arial"/>
          <w:spacing w:val="-2"/>
          <w:sz w:val="22"/>
          <w:szCs w:val="22"/>
        </w:rPr>
        <w:t>)</w:t>
      </w:r>
      <w:r w:rsidR="001B0CF9" w:rsidRPr="005A4A7A">
        <w:rPr>
          <w:rFonts w:ascii="Arial" w:hAnsi="Arial" w:cs="Arial"/>
          <w:spacing w:val="-2"/>
          <w:sz w:val="22"/>
          <w:szCs w:val="22"/>
        </w:rPr>
        <w:t xml:space="preserve"> or other leave, or other obligations)</w:t>
      </w:r>
      <w:r w:rsidRPr="005A4A7A">
        <w:rPr>
          <w:rFonts w:ascii="Arial" w:hAnsi="Arial" w:cs="Arial"/>
          <w:spacing w:val="-2"/>
          <w:sz w:val="22"/>
          <w:szCs w:val="22"/>
        </w:rPr>
        <w:t xml:space="preserve"> will be the responsibility of the buyer</w:t>
      </w:r>
      <w:r w:rsidR="00BC5B8F" w:rsidRPr="005A4A7A">
        <w:rPr>
          <w:rFonts w:ascii="Arial" w:hAnsi="Arial" w:cs="Arial"/>
          <w:spacing w:val="-2"/>
          <w:sz w:val="22"/>
          <w:szCs w:val="22"/>
        </w:rPr>
        <w:t xml:space="preserve"> and make sure the documentation reflects this responsibility</w:t>
      </w:r>
      <w:r w:rsidRPr="005A4A7A">
        <w:rPr>
          <w:rFonts w:ascii="Arial" w:hAnsi="Arial" w:cs="Arial"/>
          <w:spacing w:val="-2"/>
          <w:sz w:val="22"/>
          <w:szCs w:val="22"/>
        </w:rPr>
        <w:t>.</w:t>
      </w:r>
      <w:r w:rsidR="00163FE1" w:rsidRPr="005A4A7A">
        <w:rPr>
          <w:rFonts w:ascii="Arial" w:hAnsi="Arial" w:cs="Arial"/>
          <w:spacing w:val="-2"/>
          <w:sz w:val="22"/>
          <w:szCs w:val="22"/>
        </w:rPr>
        <w:t xml:space="preserve"> </w:t>
      </w:r>
      <w:r w:rsidR="00653F3C" w:rsidRPr="005A4A7A">
        <w:rPr>
          <w:rFonts w:ascii="Arial" w:hAnsi="Arial" w:cs="Arial"/>
          <w:spacing w:val="-2"/>
          <w:sz w:val="22"/>
          <w:szCs w:val="22"/>
        </w:rPr>
        <w:t xml:space="preserve">Often, as a practical matter, even if the seller </w:t>
      </w:r>
      <w:proofErr w:type="gramStart"/>
      <w:r w:rsidR="00653F3C" w:rsidRPr="005A4A7A">
        <w:rPr>
          <w:rFonts w:ascii="Arial" w:hAnsi="Arial" w:cs="Arial"/>
          <w:spacing w:val="-2"/>
          <w:sz w:val="22"/>
          <w:szCs w:val="22"/>
        </w:rPr>
        <w:t>retains</w:t>
      </w:r>
      <w:proofErr w:type="gramEnd"/>
      <w:r w:rsidR="00653F3C" w:rsidRPr="005A4A7A">
        <w:rPr>
          <w:rFonts w:ascii="Arial" w:hAnsi="Arial" w:cs="Arial"/>
          <w:spacing w:val="-2"/>
          <w:sz w:val="22"/>
          <w:szCs w:val="22"/>
        </w:rPr>
        <w:t xml:space="preserve"> liability for prior employee benefits, the buyer/new employer might credit certain benefits (often PTO balances and accrual rates) to preserve employee loyalty. The cost of crediting new obligations should </w:t>
      </w:r>
      <w:proofErr w:type="gramStart"/>
      <w:r w:rsidR="00653F3C" w:rsidRPr="005A4A7A">
        <w:rPr>
          <w:rFonts w:ascii="Arial" w:hAnsi="Arial" w:cs="Arial"/>
          <w:spacing w:val="-2"/>
          <w:sz w:val="22"/>
          <w:szCs w:val="22"/>
        </w:rPr>
        <w:t>be considered</w:t>
      </w:r>
      <w:proofErr w:type="gramEnd"/>
      <w:r w:rsidR="00653F3C" w:rsidRPr="005A4A7A">
        <w:rPr>
          <w:rFonts w:ascii="Arial" w:hAnsi="Arial" w:cs="Arial"/>
          <w:spacing w:val="-2"/>
          <w:sz w:val="22"/>
          <w:szCs w:val="22"/>
        </w:rPr>
        <w:t xml:space="preserve"> in the purchase price.</w:t>
      </w:r>
      <w:r w:rsidR="00163FE1" w:rsidRPr="005A4A7A">
        <w:rPr>
          <w:rFonts w:ascii="Arial" w:hAnsi="Arial" w:cs="Arial"/>
          <w:spacing w:val="-2"/>
          <w:sz w:val="22"/>
          <w:szCs w:val="22"/>
        </w:rPr>
        <w:t xml:space="preserve"> </w:t>
      </w:r>
      <w:proofErr w:type="gramStart"/>
      <w:r w:rsidR="001B0CF9" w:rsidRPr="005A4A7A">
        <w:rPr>
          <w:rFonts w:ascii="Arial" w:hAnsi="Arial" w:cs="Arial"/>
          <w:spacing w:val="-2"/>
          <w:sz w:val="22"/>
          <w:szCs w:val="22"/>
        </w:rPr>
        <w:t>Review</w:t>
      </w:r>
      <w:proofErr w:type="gramEnd"/>
      <w:r w:rsidR="001B0CF9" w:rsidRPr="005A4A7A">
        <w:rPr>
          <w:rFonts w:ascii="Arial" w:hAnsi="Arial" w:cs="Arial"/>
          <w:spacing w:val="-2"/>
          <w:sz w:val="22"/>
          <w:szCs w:val="22"/>
        </w:rPr>
        <w:t xml:space="preserve"> applicable employment law.</w:t>
      </w:r>
      <w:r w:rsidR="00163FE1" w:rsidRPr="005A4A7A">
        <w:rPr>
          <w:rFonts w:ascii="Arial" w:hAnsi="Arial" w:cs="Arial"/>
          <w:spacing w:val="-2"/>
          <w:sz w:val="22"/>
          <w:szCs w:val="22"/>
        </w:rPr>
        <w:t xml:space="preserve"> </w:t>
      </w:r>
      <w:r w:rsidR="001B0CF9" w:rsidRPr="005A4A7A">
        <w:rPr>
          <w:rFonts w:ascii="Arial" w:hAnsi="Arial" w:cs="Arial"/>
          <w:spacing w:val="-2"/>
          <w:sz w:val="22"/>
          <w:szCs w:val="22"/>
        </w:rPr>
        <w:t xml:space="preserve">If the sale includes a mass layoff or plant closing, as defined in the WARN Act, </w:t>
      </w:r>
      <w:proofErr w:type="gramStart"/>
      <w:r w:rsidR="001B0CF9" w:rsidRPr="005A4A7A">
        <w:rPr>
          <w:rFonts w:ascii="Arial" w:hAnsi="Arial" w:cs="Arial"/>
          <w:spacing w:val="-2"/>
          <w:sz w:val="22"/>
          <w:szCs w:val="22"/>
        </w:rPr>
        <w:t>comply with</w:t>
      </w:r>
      <w:proofErr w:type="gramEnd"/>
      <w:r w:rsidR="001B0CF9" w:rsidRPr="005A4A7A">
        <w:rPr>
          <w:rFonts w:ascii="Arial" w:hAnsi="Arial" w:cs="Arial"/>
          <w:spacing w:val="-2"/>
          <w:sz w:val="22"/>
          <w:szCs w:val="22"/>
        </w:rPr>
        <w:t xml:space="preserve"> its requirements.</w:t>
      </w:r>
      <w:r w:rsidR="00163FE1" w:rsidRPr="005A4A7A">
        <w:rPr>
          <w:rFonts w:ascii="Arial" w:hAnsi="Arial" w:cs="Arial"/>
          <w:spacing w:val="-2"/>
          <w:sz w:val="22"/>
          <w:szCs w:val="22"/>
        </w:rPr>
        <w:t xml:space="preserve"> </w:t>
      </w:r>
    </w:p>
    <w:p w14:paraId="660FD570" w14:textId="33AEC678" w:rsidR="00D93CC8" w:rsidRPr="005A4A7A" w:rsidRDefault="00D93CC8" w:rsidP="007F599D">
      <w:pPr>
        <w:numPr>
          <w:ilvl w:val="0"/>
          <w:numId w:val="10"/>
        </w:numPr>
        <w:tabs>
          <w:tab w:val="left" w:pos="-720"/>
          <w:tab w:val="left" w:pos="0"/>
        </w:tabs>
        <w:suppressAutoHyphens/>
        <w:spacing w:after="120" w:line="240" w:lineRule="exact"/>
        <w:ind w:left="360"/>
        <w:rPr>
          <w:rFonts w:ascii="Arial" w:hAnsi="Arial" w:cs="Arial"/>
          <w:spacing w:val="-2"/>
          <w:sz w:val="22"/>
          <w:szCs w:val="22"/>
        </w:rPr>
      </w:pPr>
      <w:r w:rsidRPr="005A4A7A">
        <w:rPr>
          <w:rFonts w:ascii="Arial" w:hAnsi="Arial" w:cs="Arial"/>
          <w:spacing w:val="-2"/>
          <w:sz w:val="22"/>
          <w:szCs w:val="22"/>
        </w:rPr>
        <w:t xml:space="preserve">If assets are being </w:t>
      </w:r>
      <w:proofErr w:type="gramStart"/>
      <w:r w:rsidRPr="005A4A7A">
        <w:rPr>
          <w:rFonts w:ascii="Arial" w:hAnsi="Arial" w:cs="Arial"/>
          <w:spacing w:val="-2"/>
          <w:sz w:val="22"/>
          <w:szCs w:val="22"/>
        </w:rPr>
        <w:t>purchased</w:t>
      </w:r>
      <w:proofErr w:type="gramEnd"/>
      <w:r w:rsidRPr="005A4A7A">
        <w:rPr>
          <w:rFonts w:ascii="Arial" w:hAnsi="Arial" w:cs="Arial"/>
          <w:spacing w:val="-2"/>
          <w:sz w:val="22"/>
          <w:szCs w:val="22"/>
        </w:rPr>
        <w:t xml:space="preserve">, the contract of sale should </w:t>
      </w:r>
      <w:proofErr w:type="gramStart"/>
      <w:r w:rsidRPr="005A4A7A">
        <w:rPr>
          <w:rFonts w:ascii="Arial" w:hAnsi="Arial" w:cs="Arial"/>
          <w:spacing w:val="-2"/>
          <w:sz w:val="22"/>
          <w:szCs w:val="22"/>
        </w:rPr>
        <w:t>contain</w:t>
      </w:r>
      <w:proofErr w:type="gramEnd"/>
      <w:r w:rsidRPr="005A4A7A">
        <w:rPr>
          <w:rFonts w:ascii="Arial" w:hAnsi="Arial" w:cs="Arial"/>
          <w:spacing w:val="-2"/>
          <w:sz w:val="22"/>
          <w:szCs w:val="22"/>
        </w:rPr>
        <w:t xml:space="preserve"> a provision </w:t>
      </w:r>
      <w:proofErr w:type="gramStart"/>
      <w:r w:rsidRPr="005A4A7A">
        <w:rPr>
          <w:rFonts w:ascii="Arial" w:hAnsi="Arial" w:cs="Arial"/>
          <w:spacing w:val="-2"/>
          <w:sz w:val="22"/>
          <w:szCs w:val="22"/>
        </w:rPr>
        <w:t>allocating</w:t>
      </w:r>
      <w:proofErr w:type="gramEnd"/>
      <w:r w:rsidRPr="005A4A7A">
        <w:rPr>
          <w:rFonts w:ascii="Arial" w:hAnsi="Arial" w:cs="Arial"/>
          <w:spacing w:val="-2"/>
          <w:sz w:val="22"/>
          <w:szCs w:val="22"/>
        </w:rPr>
        <w:t xml:space="preserve"> the purchase price among the assets</w:t>
      </w:r>
      <w:r w:rsidR="001B0CF9" w:rsidRPr="005A4A7A">
        <w:rPr>
          <w:rFonts w:ascii="Arial" w:hAnsi="Arial" w:cs="Arial"/>
          <w:spacing w:val="-2"/>
          <w:sz w:val="22"/>
          <w:szCs w:val="22"/>
        </w:rPr>
        <w:t>, which should be prepared or approved by the client</w:t>
      </w:r>
      <w:r w:rsidR="00163FE1" w:rsidRPr="005A4A7A">
        <w:rPr>
          <w:rFonts w:ascii="Arial" w:hAnsi="Arial" w:cs="Arial"/>
          <w:spacing w:val="-2"/>
          <w:sz w:val="22"/>
          <w:szCs w:val="22"/>
        </w:rPr>
        <w:t>’</w:t>
      </w:r>
      <w:r w:rsidR="001B0CF9" w:rsidRPr="005A4A7A">
        <w:rPr>
          <w:rFonts w:ascii="Arial" w:hAnsi="Arial" w:cs="Arial"/>
          <w:spacing w:val="-2"/>
          <w:sz w:val="22"/>
          <w:szCs w:val="22"/>
        </w:rPr>
        <w:t>s accountant</w:t>
      </w:r>
      <w:r w:rsidRPr="005A4A7A">
        <w:rPr>
          <w:rFonts w:ascii="Arial" w:hAnsi="Arial" w:cs="Arial"/>
          <w:spacing w:val="-2"/>
          <w:sz w:val="22"/>
          <w:szCs w:val="22"/>
        </w:rPr>
        <w:t>.</w:t>
      </w:r>
    </w:p>
    <w:p w14:paraId="1D62ECE2" w14:textId="63417F39" w:rsidR="00D93CC8" w:rsidRPr="005A4A7A" w:rsidRDefault="00D93CC8" w:rsidP="007F599D">
      <w:pPr>
        <w:numPr>
          <w:ilvl w:val="0"/>
          <w:numId w:val="10"/>
        </w:numPr>
        <w:tabs>
          <w:tab w:val="left" w:pos="-720"/>
          <w:tab w:val="left" w:pos="0"/>
        </w:tabs>
        <w:suppressAutoHyphens/>
        <w:spacing w:after="120" w:line="240" w:lineRule="exact"/>
        <w:ind w:left="360"/>
        <w:rPr>
          <w:rFonts w:ascii="Arial" w:hAnsi="Arial" w:cs="Arial"/>
          <w:spacing w:val="-2"/>
          <w:sz w:val="22"/>
          <w:szCs w:val="22"/>
        </w:rPr>
      </w:pPr>
      <w:r w:rsidRPr="005A4A7A">
        <w:rPr>
          <w:rFonts w:ascii="Arial" w:hAnsi="Arial" w:cs="Arial"/>
          <w:spacing w:val="-2"/>
          <w:sz w:val="22"/>
          <w:szCs w:val="22"/>
        </w:rPr>
        <w:t xml:space="preserve">If the business being </w:t>
      </w:r>
      <w:proofErr w:type="gramStart"/>
      <w:r w:rsidRPr="005A4A7A">
        <w:rPr>
          <w:rFonts w:ascii="Arial" w:hAnsi="Arial" w:cs="Arial"/>
          <w:spacing w:val="-2"/>
          <w:sz w:val="22"/>
          <w:szCs w:val="22"/>
        </w:rPr>
        <w:t>purchased</w:t>
      </w:r>
      <w:proofErr w:type="gramEnd"/>
      <w:r w:rsidRPr="005A4A7A">
        <w:rPr>
          <w:rFonts w:ascii="Arial" w:hAnsi="Arial" w:cs="Arial"/>
          <w:spacing w:val="-2"/>
          <w:sz w:val="22"/>
          <w:szCs w:val="22"/>
        </w:rPr>
        <w:t xml:space="preserve"> could </w:t>
      </w:r>
      <w:proofErr w:type="gramStart"/>
      <w:r w:rsidRPr="005A4A7A">
        <w:rPr>
          <w:rFonts w:ascii="Arial" w:hAnsi="Arial" w:cs="Arial"/>
          <w:spacing w:val="-2"/>
          <w:sz w:val="22"/>
          <w:szCs w:val="22"/>
        </w:rPr>
        <w:t>be adversely affected</w:t>
      </w:r>
      <w:proofErr w:type="gramEnd"/>
      <w:r w:rsidRPr="005A4A7A">
        <w:rPr>
          <w:rFonts w:ascii="Arial" w:hAnsi="Arial" w:cs="Arial"/>
          <w:spacing w:val="-2"/>
          <w:sz w:val="22"/>
          <w:szCs w:val="22"/>
        </w:rPr>
        <w:t xml:space="preserve"> if the seller or any principals of the seller compete with the buyer, the transaction should include a covenant not to compete</w:t>
      </w:r>
      <w:r w:rsidR="001E3B99" w:rsidRPr="005A4A7A">
        <w:rPr>
          <w:rFonts w:ascii="Arial" w:hAnsi="Arial" w:cs="Arial"/>
          <w:spacing w:val="-2"/>
          <w:sz w:val="22"/>
          <w:szCs w:val="22"/>
        </w:rPr>
        <w:t>,</w:t>
      </w:r>
      <w:r w:rsidRPr="005A4A7A">
        <w:rPr>
          <w:rFonts w:ascii="Arial" w:hAnsi="Arial" w:cs="Arial"/>
          <w:spacing w:val="-2"/>
          <w:sz w:val="22"/>
          <w:szCs w:val="22"/>
        </w:rPr>
        <w:t xml:space="preserve"> which prohibits those individuals from competing with the buyer.</w:t>
      </w:r>
      <w:r w:rsidR="00163FE1" w:rsidRPr="005A4A7A">
        <w:rPr>
          <w:rFonts w:ascii="Arial" w:hAnsi="Arial" w:cs="Arial"/>
          <w:spacing w:val="-2"/>
          <w:sz w:val="22"/>
          <w:szCs w:val="22"/>
        </w:rPr>
        <w:t xml:space="preserve"> </w:t>
      </w:r>
      <w:r w:rsidR="001B0CF9" w:rsidRPr="005A4A7A">
        <w:rPr>
          <w:rFonts w:ascii="Arial" w:hAnsi="Arial" w:cs="Arial"/>
          <w:spacing w:val="-2"/>
          <w:sz w:val="22"/>
          <w:szCs w:val="22"/>
        </w:rPr>
        <w:t xml:space="preserve">ORS 653.295, which governs noncompetition agreements in the employer-employee context, does not apply to </w:t>
      </w:r>
      <w:r w:rsidR="002C5C2A" w:rsidRPr="005A4A7A">
        <w:rPr>
          <w:rFonts w:ascii="Arial" w:hAnsi="Arial" w:cs="Arial"/>
          <w:spacing w:val="-2"/>
          <w:sz w:val="22"/>
          <w:szCs w:val="22"/>
        </w:rPr>
        <w:t>noncompetition covenants given solely in relation to sale of a business.</w:t>
      </w:r>
      <w:r w:rsidR="00163FE1" w:rsidRPr="005A4A7A">
        <w:rPr>
          <w:rFonts w:ascii="Arial" w:hAnsi="Arial" w:cs="Arial"/>
          <w:spacing w:val="-2"/>
          <w:sz w:val="22"/>
          <w:szCs w:val="22"/>
        </w:rPr>
        <w:t xml:space="preserve"> </w:t>
      </w:r>
    </w:p>
    <w:p w14:paraId="16049B36" w14:textId="3F1CAA85" w:rsidR="00D93CC8" w:rsidRPr="005A4A7A" w:rsidRDefault="00563371" w:rsidP="007F599D">
      <w:pPr>
        <w:numPr>
          <w:ilvl w:val="0"/>
          <w:numId w:val="10"/>
        </w:numPr>
        <w:tabs>
          <w:tab w:val="left" w:pos="-720"/>
          <w:tab w:val="left" w:pos="0"/>
        </w:tabs>
        <w:suppressAutoHyphens/>
        <w:spacing w:after="120" w:line="240" w:lineRule="exact"/>
        <w:ind w:left="360"/>
        <w:rPr>
          <w:rFonts w:ascii="Arial" w:hAnsi="Arial" w:cs="Arial"/>
          <w:spacing w:val="-2"/>
          <w:sz w:val="22"/>
          <w:szCs w:val="22"/>
        </w:rPr>
      </w:pPr>
      <w:r w:rsidRPr="005A4A7A">
        <w:rPr>
          <w:rFonts w:ascii="Arial" w:hAnsi="Arial" w:cs="Arial"/>
          <w:spacing w:val="-2"/>
          <w:sz w:val="22"/>
          <w:szCs w:val="22"/>
        </w:rPr>
        <w:t xml:space="preserve">For security of a purchase price paid over time, make sure to evaluate the </w:t>
      </w:r>
      <w:proofErr w:type="gramStart"/>
      <w:r w:rsidRPr="005A4A7A">
        <w:rPr>
          <w:rFonts w:ascii="Arial" w:hAnsi="Arial" w:cs="Arial"/>
          <w:spacing w:val="-2"/>
          <w:sz w:val="22"/>
          <w:szCs w:val="22"/>
        </w:rPr>
        <w:t>credit-worthiness</w:t>
      </w:r>
      <w:proofErr w:type="gramEnd"/>
      <w:r w:rsidRPr="005A4A7A">
        <w:rPr>
          <w:rFonts w:ascii="Arial" w:hAnsi="Arial" w:cs="Arial"/>
          <w:spacing w:val="-2"/>
          <w:sz w:val="22"/>
          <w:szCs w:val="22"/>
        </w:rPr>
        <w:t xml:space="preserve"> of any guarantors or the soundness of pledged security. </w:t>
      </w:r>
      <w:r w:rsidR="00D93CC8" w:rsidRPr="005A4A7A">
        <w:rPr>
          <w:rFonts w:ascii="Arial" w:hAnsi="Arial" w:cs="Arial"/>
          <w:spacing w:val="-2"/>
          <w:sz w:val="22"/>
          <w:szCs w:val="22"/>
        </w:rPr>
        <w:t xml:space="preserve">For </w:t>
      </w:r>
      <w:r w:rsidRPr="005A4A7A">
        <w:rPr>
          <w:rFonts w:ascii="Arial" w:hAnsi="Arial" w:cs="Arial"/>
          <w:spacing w:val="-2"/>
          <w:sz w:val="22"/>
          <w:szCs w:val="22"/>
        </w:rPr>
        <w:t>a</w:t>
      </w:r>
      <w:r w:rsidR="00D93CC8" w:rsidRPr="005A4A7A">
        <w:rPr>
          <w:rFonts w:ascii="Arial" w:hAnsi="Arial" w:cs="Arial"/>
          <w:spacing w:val="-2"/>
          <w:sz w:val="22"/>
          <w:szCs w:val="22"/>
        </w:rPr>
        <w:t xml:space="preserve"> stock pledge to be perfected, </w:t>
      </w:r>
      <w:r w:rsidR="00777410">
        <w:rPr>
          <w:rFonts w:ascii="Arial" w:hAnsi="Arial" w:cs="Arial"/>
          <w:spacing w:val="-2"/>
          <w:sz w:val="22"/>
          <w:szCs w:val="22"/>
        </w:rPr>
        <w:t>the secured party m</w:t>
      </w:r>
      <w:r w:rsidR="00D93CC8" w:rsidRPr="005A4A7A">
        <w:rPr>
          <w:rFonts w:ascii="Arial" w:hAnsi="Arial" w:cs="Arial"/>
          <w:spacing w:val="-2"/>
          <w:sz w:val="22"/>
          <w:szCs w:val="22"/>
        </w:rPr>
        <w:t>ust have possession of the stock</w:t>
      </w:r>
      <w:r w:rsidR="001B712C" w:rsidRPr="005A4A7A">
        <w:rPr>
          <w:rFonts w:ascii="Arial" w:hAnsi="Arial" w:cs="Arial"/>
          <w:spacing w:val="-2"/>
          <w:sz w:val="22"/>
          <w:szCs w:val="22"/>
        </w:rPr>
        <w:t>,</w:t>
      </w:r>
      <w:r w:rsidR="00D93CC8" w:rsidRPr="005A4A7A">
        <w:rPr>
          <w:rFonts w:ascii="Arial" w:hAnsi="Arial" w:cs="Arial"/>
          <w:spacing w:val="-2"/>
          <w:sz w:val="22"/>
          <w:szCs w:val="22"/>
        </w:rPr>
        <w:t xml:space="preserve"> or the stock must be pledged and held in a third-party escrow</w:t>
      </w:r>
      <w:r w:rsidRPr="005A4A7A">
        <w:rPr>
          <w:rFonts w:ascii="Arial" w:hAnsi="Arial" w:cs="Arial"/>
          <w:spacing w:val="-2"/>
          <w:sz w:val="22"/>
          <w:szCs w:val="22"/>
        </w:rPr>
        <w:t xml:space="preserve"> (please note that the r</w:t>
      </w:r>
      <w:r w:rsidR="002C5C2A" w:rsidRPr="005A4A7A">
        <w:rPr>
          <w:rFonts w:ascii="Arial" w:hAnsi="Arial" w:cs="Arial"/>
          <w:spacing w:val="-2"/>
          <w:sz w:val="22"/>
          <w:szCs w:val="22"/>
        </w:rPr>
        <w:t>ules for perfecting a pledge of LLC membership interests are different and vary based on whether the membership interest is certificated</w:t>
      </w:r>
      <w:r w:rsidRPr="005A4A7A">
        <w:rPr>
          <w:rFonts w:ascii="Arial" w:hAnsi="Arial" w:cs="Arial"/>
          <w:spacing w:val="-2"/>
          <w:sz w:val="22"/>
          <w:szCs w:val="22"/>
        </w:rPr>
        <w:t>).</w:t>
      </w:r>
    </w:p>
    <w:p w14:paraId="60E32D50" w14:textId="34E0BBAB" w:rsidR="00D93CC8" w:rsidRPr="005A4A7A" w:rsidRDefault="00D93CC8" w:rsidP="007F599D">
      <w:pPr>
        <w:numPr>
          <w:ilvl w:val="0"/>
          <w:numId w:val="10"/>
        </w:numPr>
        <w:tabs>
          <w:tab w:val="left" w:pos="-720"/>
          <w:tab w:val="left" w:pos="0"/>
        </w:tabs>
        <w:suppressAutoHyphens/>
        <w:spacing w:after="120" w:line="240" w:lineRule="exact"/>
        <w:ind w:left="360"/>
        <w:rPr>
          <w:rFonts w:ascii="Arial" w:hAnsi="Arial" w:cs="Arial"/>
          <w:spacing w:val="-2"/>
          <w:sz w:val="22"/>
          <w:szCs w:val="22"/>
        </w:rPr>
      </w:pPr>
      <w:r w:rsidRPr="005A4A7A">
        <w:rPr>
          <w:rFonts w:ascii="Arial" w:hAnsi="Arial" w:cs="Arial"/>
          <w:spacing w:val="-2"/>
          <w:sz w:val="22"/>
          <w:szCs w:val="22"/>
        </w:rPr>
        <w:t>Be sure you have a security agreement if there is a sale of assets</w:t>
      </w:r>
      <w:r w:rsidR="004720C6" w:rsidRPr="005A4A7A">
        <w:rPr>
          <w:rFonts w:ascii="Arial" w:hAnsi="Arial" w:cs="Arial"/>
          <w:spacing w:val="-2"/>
          <w:sz w:val="22"/>
          <w:szCs w:val="22"/>
        </w:rPr>
        <w:t xml:space="preserve"> involving seller </w:t>
      </w:r>
      <w:proofErr w:type="gramStart"/>
      <w:r w:rsidR="004720C6" w:rsidRPr="005A4A7A">
        <w:rPr>
          <w:rFonts w:ascii="Arial" w:hAnsi="Arial" w:cs="Arial"/>
          <w:spacing w:val="-2"/>
          <w:sz w:val="22"/>
          <w:szCs w:val="22"/>
        </w:rPr>
        <w:t>financing</w:t>
      </w:r>
      <w:r w:rsidRPr="005A4A7A">
        <w:rPr>
          <w:rFonts w:ascii="Arial" w:hAnsi="Arial" w:cs="Arial"/>
          <w:spacing w:val="-2"/>
          <w:sz w:val="22"/>
          <w:szCs w:val="22"/>
        </w:rPr>
        <w:t>, and</w:t>
      </w:r>
      <w:proofErr w:type="gramEnd"/>
      <w:r w:rsidRPr="005A4A7A">
        <w:rPr>
          <w:rFonts w:ascii="Arial" w:hAnsi="Arial" w:cs="Arial"/>
          <w:spacing w:val="-2"/>
          <w:sz w:val="22"/>
          <w:szCs w:val="22"/>
        </w:rPr>
        <w:t xml:space="preserve"> then be sure to file a UCC-1 Financing Statement to perfect it.</w:t>
      </w:r>
      <w:r w:rsidR="00163FE1" w:rsidRPr="005A4A7A">
        <w:rPr>
          <w:rFonts w:ascii="Arial" w:hAnsi="Arial" w:cs="Arial"/>
          <w:spacing w:val="-2"/>
          <w:sz w:val="22"/>
          <w:szCs w:val="22"/>
        </w:rPr>
        <w:t xml:space="preserve"> </w:t>
      </w:r>
      <w:proofErr w:type="gramStart"/>
      <w:r w:rsidRPr="005A4A7A">
        <w:rPr>
          <w:rFonts w:ascii="Arial" w:hAnsi="Arial" w:cs="Arial"/>
          <w:spacing w:val="-2"/>
          <w:sz w:val="22"/>
          <w:szCs w:val="22"/>
        </w:rPr>
        <w:t>With regard to</w:t>
      </w:r>
      <w:proofErr w:type="gramEnd"/>
      <w:r w:rsidRPr="005A4A7A">
        <w:rPr>
          <w:rFonts w:ascii="Arial" w:hAnsi="Arial" w:cs="Arial"/>
          <w:spacing w:val="-2"/>
          <w:sz w:val="22"/>
          <w:szCs w:val="22"/>
        </w:rPr>
        <w:t xml:space="preserve"> fixtures, for perfection, the filing must be in the deed records of the county where the property is </w:t>
      </w:r>
      <w:proofErr w:type="gramStart"/>
      <w:r w:rsidRPr="005A4A7A">
        <w:rPr>
          <w:rFonts w:ascii="Arial" w:hAnsi="Arial" w:cs="Arial"/>
          <w:spacing w:val="-2"/>
          <w:sz w:val="22"/>
          <w:szCs w:val="22"/>
        </w:rPr>
        <w:t>located</w:t>
      </w:r>
      <w:proofErr w:type="gramEnd"/>
      <w:r w:rsidRPr="005A4A7A">
        <w:rPr>
          <w:rFonts w:ascii="Arial" w:hAnsi="Arial" w:cs="Arial"/>
          <w:spacing w:val="-2"/>
          <w:sz w:val="22"/>
          <w:szCs w:val="22"/>
        </w:rPr>
        <w:t>.</w:t>
      </w:r>
      <w:r w:rsidR="00163FE1" w:rsidRPr="005A4A7A">
        <w:rPr>
          <w:rFonts w:ascii="Arial" w:hAnsi="Arial" w:cs="Arial"/>
          <w:spacing w:val="-2"/>
          <w:sz w:val="22"/>
          <w:szCs w:val="22"/>
        </w:rPr>
        <w:t xml:space="preserve"> </w:t>
      </w:r>
      <w:r w:rsidRPr="005A4A7A">
        <w:rPr>
          <w:rFonts w:ascii="Arial" w:hAnsi="Arial" w:cs="Arial"/>
          <w:spacing w:val="-2"/>
          <w:sz w:val="22"/>
          <w:szCs w:val="22"/>
        </w:rPr>
        <w:t>ORS 72A.3095.</w:t>
      </w:r>
    </w:p>
    <w:p w14:paraId="05A987E1" w14:textId="4429C4B2" w:rsidR="00D93CC8" w:rsidRPr="005A4A7A" w:rsidRDefault="00D93CC8" w:rsidP="007F599D">
      <w:pPr>
        <w:numPr>
          <w:ilvl w:val="0"/>
          <w:numId w:val="10"/>
        </w:numPr>
        <w:tabs>
          <w:tab w:val="left" w:pos="-720"/>
          <w:tab w:val="left" w:pos="0"/>
        </w:tabs>
        <w:suppressAutoHyphens/>
        <w:spacing w:after="120" w:line="240" w:lineRule="exact"/>
        <w:ind w:left="360"/>
        <w:rPr>
          <w:rFonts w:ascii="Arial" w:hAnsi="Arial" w:cs="Arial"/>
          <w:spacing w:val="-2"/>
          <w:sz w:val="22"/>
          <w:szCs w:val="22"/>
        </w:rPr>
      </w:pPr>
      <w:r w:rsidRPr="005A4A7A">
        <w:rPr>
          <w:rFonts w:ascii="Arial" w:hAnsi="Arial" w:cs="Arial"/>
          <w:spacing w:val="-2"/>
          <w:sz w:val="22"/>
          <w:szCs w:val="22"/>
        </w:rPr>
        <w:t>As seller</w:t>
      </w:r>
      <w:r w:rsidR="00163FE1" w:rsidRPr="005A4A7A">
        <w:rPr>
          <w:rFonts w:ascii="Arial" w:hAnsi="Arial" w:cs="Arial"/>
          <w:spacing w:val="-2"/>
          <w:sz w:val="22"/>
          <w:szCs w:val="22"/>
        </w:rPr>
        <w:t>’</w:t>
      </w:r>
      <w:r w:rsidRPr="005A4A7A">
        <w:rPr>
          <w:rFonts w:ascii="Arial" w:hAnsi="Arial" w:cs="Arial"/>
          <w:spacing w:val="-2"/>
          <w:sz w:val="22"/>
          <w:szCs w:val="22"/>
        </w:rPr>
        <w:t>s attorney,</w:t>
      </w:r>
      <w:r w:rsidR="00607E9F" w:rsidRPr="005A4A7A">
        <w:rPr>
          <w:rFonts w:ascii="Arial" w:hAnsi="Arial" w:cs="Arial"/>
          <w:spacing w:val="-2"/>
          <w:sz w:val="22"/>
          <w:szCs w:val="22"/>
        </w:rPr>
        <w:t xml:space="preserve"> recommend the seller</w:t>
      </w:r>
      <w:r w:rsidRPr="005A4A7A">
        <w:rPr>
          <w:rFonts w:ascii="Arial" w:hAnsi="Arial" w:cs="Arial"/>
          <w:spacing w:val="-2"/>
          <w:sz w:val="22"/>
          <w:szCs w:val="22"/>
        </w:rPr>
        <w:t xml:space="preserve"> take a security interest in the seller</w:t>
      </w:r>
      <w:r w:rsidR="00163FE1" w:rsidRPr="005A4A7A">
        <w:rPr>
          <w:rFonts w:ascii="Arial" w:hAnsi="Arial" w:cs="Arial"/>
          <w:spacing w:val="-2"/>
          <w:sz w:val="22"/>
          <w:szCs w:val="22"/>
        </w:rPr>
        <w:t>’</w:t>
      </w:r>
      <w:r w:rsidRPr="005A4A7A">
        <w:rPr>
          <w:rFonts w:ascii="Arial" w:hAnsi="Arial" w:cs="Arial"/>
          <w:spacing w:val="-2"/>
          <w:sz w:val="22"/>
          <w:szCs w:val="22"/>
        </w:rPr>
        <w:t xml:space="preserve">s interest in any leased property that is </w:t>
      </w:r>
      <w:proofErr w:type="gramStart"/>
      <w:r w:rsidRPr="005A4A7A">
        <w:rPr>
          <w:rFonts w:ascii="Arial" w:hAnsi="Arial" w:cs="Arial"/>
          <w:spacing w:val="-2"/>
          <w:sz w:val="22"/>
          <w:szCs w:val="22"/>
        </w:rPr>
        <w:t>being assigned</w:t>
      </w:r>
      <w:proofErr w:type="gramEnd"/>
      <w:r w:rsidRPr="005A4A7A">
        <w:rPr>
          <w:rFonts w:ascii="Arial" w:hAnsi="Arial" w:cs="Arial"/>
          <w:spacing w:val="-2"/>
          <w:sz w:val="22"/>
          <w:szCs w:val="22"/>
        </w:rPr>
        <w:t xml:space="preserve"> to the buyer (and extensions of the lease).</w:t>
      </w:r>
      <w:r w:rsidR="00163FE1" w:rsidRPr="005A4A7A">
        <w:rPr>
          <w:rFonts w:ascii="Arial" w:hAnsi="Arial" w:cs="Arial"/>
          <w:spacing w:val="-2"/>
          <w:sz w:val="22"/>
          <w:szCs w:val="22"/>
        </w:rPr>
        <w:t xml:space="preserve"> </w:t>
      </w:r>
      <w:r w:rsidRPr="005A4A7A">
        <w:rPr>
          <w:rFonts w:ascii="Arial" w:hAnsi="Arial" w:cs="Arial"/>
          <w:spacing w:val="-2"/>
          <w:sz w:val="22"/>
          <w:szCs w:val="22"/>
        </w:rPr>
        <w:t xml:space="preserve">A default in either the lease agreement or the purchase agreement should also </w:t>
      </w:r>
      <w:proofErr w:type="gramStart"/>
      <w:r w:rsidRPr="005A4A7A">
        <w:rPr>
          <w:rFonts w:ascii="Arial" w:hAnsi="Arial" w:cs="Arial"/>
          <w:spacing w:val="-2"/>
          <w:sz w:val="22"/>
          <w:szCs w:val="22"/>
        </w:rPr>
        <w:t>constitute</w:t>
      </w:r>
      <w:proofErr w:type="gramEnd"/>
      <w:r w:rsidRPr="005A4A7A">
        <w:rPr>
          <w:rFonts w:ascii="Arial" w:hAnsi="Arial" w:cs="Arial"/>
          <w:spacing w:val="-2"/>
          <w:sz w:val="22"/>
          <w:szCs w:val="22"/>
        </w:rPr>
        <w:t xml:space="preserve"> a default in the other agreement.</w:t>
      </w:r>
      <w:r w:rsidR="00163FE1" w:rsidRPr="005A4A7A">
        <w:rPr>
          <w:rFonts w:ascii="Arial" w:hAnsi="Arial" w:cs="Arial"/>
          <w:spacing w:val="-2"/>
          <w:sz w:val="22"/>
          <w:szCs w:val="22"/>
        </w:rPr>
        <w:t xml:space="preserve"> </w:t>
      </w:r>
      <w:r w:rsidRPr="005A4A7A">
        <w:rPr>
          <w:rFonts w:ascii="Arial" w:hAnsi="Arial" w:cs="Arial"/>
          <w:spacing w:val="-2"/>
          <w:sz w:val="22"/>
          <w:szCs w:val="22"/>
        </w:rPr>
        <w:t xml:space="preserve">Moreover, any default on an underlying mortgage or encumbrance should also </w:t>
      </w:r>
      <w:proofErr w:type="gramStart"/>
      <w:r w:rsidRPr="005A4A7A">
        <w:rPr>
          <w:rFonts w:ascii="Arial" w:hAnsi="Arial" w:cs="Arial"/>
          <w:spacing w:val="-2"/>
          <w:sz w:val="22"/>
          <w:szCs w:val="22"/>
        </w:rPr>
        <w:t>constitute</w:t>
      </w:r>
      <w:proofErr w:type="gramEnd"/>
      <w:r w:rsidRPr="005A4A7A">
        <w:rPr>
          <w:rFonts w:ascii="Arial" w:hAnsi="Arial" w:cs="Arial"/>
          <w:spacing w:val="-2"/>
          <w:sz w:val="22"/>
          <w:szCs w:val="22"/>
        </w:rPr>
        <w:t xml:space="preserve"> a default under the lease and purchase agreement.</w:t>
      </w:r>
    </w:p>
    <w:p w14:paraId="33DBDF2B" w14:textId="5115BA03" w:rsidR="00D93CC8" w:rsidRPr="005A4A7A" w:rsidRDefault="00D93CC8" w:rsidP="007F599D">
      <w:pPr>
        <w:numPr>
          <w:ilvl w:val="0"/>
          <w:numId w:val="10"/>
        </w:numPr>
        <w:tabs>
          <w:tab w:val="left" w:pos="-720"/>
          <w:tab w:val="left" w:pos="0"/>
        </w:tabs>
        <w:suppressAutoHyphens/>
        <w:spacing w:after="120" w:line="240" w:lineRule="exact"/>
        <w:ind w:left="360"/>
        <w:rPr>
          <w:rFonts w:ascii="Arial" w:hAnsi="Arial" w:cs="Arial"/>
          <w:b/>
          <w:spacing w:val="-2"/>
          <w:sz w:val="22"/>
          <w:szCs w:val="22"/>
        </w:rPr>
      </w:pPr>
      <w:r w:rsidRPr="005A4A7A">
        <w:rPr>
          <w:rFonts w:ascii="Arial" w:hAnsi="Arial" w:cs="Arial"/>
          <w:spacing w:val="-2"/>
          <w:sz w:val="22"/>
          <w:szCs w:val="22"/>
        </w:rPr>
        <w:t xml:space="preserve">Make sure the escrow is properly set up if the matter is to </w:t>
      </w:r>
      <w:proofErr w:type="gramStart"/>
      <w:r w:rsidRPr="005A4A7A">
        <w:rPr>
          <w:rFonts w:ascii="Arial" w:hAnsi="Arial" w:cs="Arial"/>
          <w:spacing w:val="-2"/>
          <w:sz w:val="22"/>
          <w:szCs w:val="22"/>
        </w:rPr>
        <w:t>be closed</w:t>
      </w:r>
      <w:proofErr w:type="gramEnd"/>
      <w:r w:rsidRPr="005A4A7A">
        <w:rPr>
          <w:rFonts w:ascii="Arial" w:hAnsi="Arial" w:cs="Arial"/>
          <w:spacing w:val="-2"/>
          <w:sz w:val="22"/>
          <w:szCs w:val="22"/>
        </w:rPr>
        <w:t xml:space="preserve"> in escrow and use a disinterested third party.</w:t>
      </w:r>
      <w:r w:rsidR="00163FE1" w:rsidRPr="005A4A7A">
        <w:rPr>
          <w:rFonts w:ascii="Arial" w:hAnsi="Arial" w:cs="Arial"/>
          <w:spacing w:val="-2"/>
          <w:sz w:val="22"/>
          <w:szCs w:val="22"/>
        </w:rPr>
        <w:t xml:space="preserve"> </w:t>
      </w:r>
      <w:r w:rsidRPr="005A4A7A">
        <w:rPr>
          <w:rFonts w:ascii="Arial" w:hAnsi="Arial" w:cs="Arial"/>
          <w:b/>
          <w:spacing w:val="-2"/>
          <w:sz w:val="22"/>
          <w:szCs w:val="22"/>
        </w:rPr>
        <w:t>BEWARE OF ACTING AS ESCROW AGENT.</w:t>
      </w:r>
    </w:p>
    <w:p w14:paraId="3A489963" w14:textId="4EAE5FE3" w:rsidR="00D93CC8" w:rsidRPr="005A4A7A" w:rsidRDefault="00D93CC8" w:rsidP="007F599D">
      <w:pPr>
        <w:numPr>
          <w:ilvl w:val="0"/>
          <w:numId w:val="10"/>
        </w:numPr>
        <w:tabs>
          <w:tab w:val="left" w:pos="-720"/>
          <w:tab w:val="left" w:pos="0"/>
        </w:tabs>
        <w:suppressAutoHyphens/>
        <w:spacing w:after="120" w:line="240" w:lineRule="exact"/>
        <w:ind w:left="360"/>
        <w:rPr>
          <w:rFonts w:ascii="Arial" w:hAnsi="Arial" w:cs="Arial"/>
          <w:spacing w:val="-2"/>
          <w:sz w:val="22"/>
          <w:szCs w:val="22"/>
        </w:rPr>
      </w:pPr>
      <w:r w:rsidRPr="005A4A7A">
        <w:rPr>
          <w:rFonts w:ascii="Arial" w:hAnsi="Arial" w:cs="Arial"/>
          <w:spacing w:val="-2"/>
          <w:sz w:val="22"/>
          <w:szCs w:val="22"/>
        </w:rPr>
        <w:t xml:space="preserve">Docket </w:t>
      </w:r>
      <w:proofErr w:type="spellStart"/>
      <w:r w:rsidRPr="005A4A7A">
        <w:rPr>
          <w:rFonts w:ascii="Arial" w:hAnsi="Arial" w:cs="Arial"/>
          <w:spacing w:val="-2"/>
          <w:sz w:val="22"/>
          <w:szCs w:val="22"/>
        </w:rPr>
        <w:t>UCC</w:t>
      </w:r>
      <w:proofErr w:type="spellEnd"/>
      <w:r w:rsidRPr="005A4A7A">
        <w:rPr>
          <w:rFonts w:ascii="Arial" w:hAnsi="Arial" w:cs="Arial"/>
          <w:spacing w:val="-2"/>
          <w:sz w:val="22"/>
          <w:szCs w:val="22"/>
        </w:rPr>
        <w:t xml:space="preserve"> filing deadlines.</w:t>
      </w:r>
      <w:r w:rsidR="00163FE1" w:rsidRPr="005A4A7A">
        <w:rPr>
          <w:rFonts w:ascii="Arial" w:hAnsi="Arial" w:cs="Arial"/>
          <w:spacing w:val="-2"/>
          <w:sz w:val="22"/>
          <w:szCs w:val="22"/>
        </w:rPr>
        <w:t xml:space="preserve"> </w:t>
      </w:r>
      <w:r w:rsidRPr="005A4A7A">
        <w:rPr>
          <w:rFonts w:ascii="Arial" w:hAnsi="Arial" w:cs="Arial"/>
          <w:spacing w:val="-2"/>
          <w:sz w:val="22"/>
          <w:szCs w:val="22"/>
        </w:rPr>
        <w:t xml:space="preserve">Be sure to advise the client in writing when a </w:t>
      </w:r>
      <w:proofErr w:type="spellStart"/>
      <w:r w:rsidRPr="005A4A7A">
        <w:rPr>
          <w:rFonts w:ascii="Arial" w:hAnsi="Arial" w:cs="Arial"/>
          <w:spacing w:val="-2"/>
          <w:sz w:val="22"/>
          <w:szCs w:val="22"/>
        </w:rPr>
        <w:t>UCC</w:t>
      </w:r>
      <w:proofErr w:type="spellEnd"/>
      <w:r w:rsidRPr="005A4A7A">
        <w:rPr>
          <w:rFonts w:ascii="Arial" w:hAnsi="Arial" w:cs="Arial"/>
          <w:spacing w:val="-2"/>
          <w:sz w:val="22"/>
          <w:szCs w:val="22"/>
        </w:rPr>
        <w:t xml:space="preserve"> filing </w:t>
      </w:r>
      <w:proofErr w:type="gramStart"/>
      <w:r w:rsidRPr="005A4A7A">
        <w:rPr>
          <w:rFonts w:ascii="Arial" w:hAnsi="Arial" w:cs="Arial"/>
          <w:spacing w:val="-2"/>
          <w:sz w:val="22"/>
          <w:szCs w:val="22"/>
        </w:rPr>
        <w:t>will expire</w:t>
      </w:r>
      <w:proofErr w:type="gramEnd"/>
      <w:r w:rsidRPr="005A4A7A">
        <w:rPr>
          <w:rFonts w:ascii="Arial" w:hAnsi="Arial" w:cs="Arial"/>
          <w:spacing w:val="-2"/>
          <w:sz w:val="22"/>
          <w:szCs w:val="22"/>
        </w:rPr>
        <w:t xml:space="preserve"> and the importance of renewal.</w:t>
      </w:r>
    </w:p>
    <w:p w14:paraId="31B6804E" w14:textId="77AB9833" w:rsidR="00D93CC8" w:rsidRPr="005A4A7A" w:rsidRDefault="00D93CC8" w:rsidP="007F599D">
      <w:pPr>
        <w:numPr>
          <w:ilvl w:val="0"/>
          <w:numId w:val="10"/>
        </w:numPr>
        <w:tabs>
          <w:tab w:val="left" w:pos="-720"/>
        </w:tabs>
        <w:suppressAutoHyphens/>
        <w:spacing w:after="120" w:line="240" w:lineRule="exact"/>
        <w:ind w:left="360"/>
        <w:rPr>
          <w:rFonts w:ascii="Arial" w:hAnsi="Arial" w:cs="Arial"/>
          <w:spacing w:val="-2"/>
          <w:sz w:val="22"/>
          <w:szCs w:val="22"/>
        </w:rPr>
      </w:pPr>
      <w:r w:rsidRPr="005A4A7A">
        <w:rPr>
          <w:rFonts w:ascii="Arial" w:hAnsi="Arial" w:cs="Arial"/>
          <w:spacing w:val="-2"/>
          <w:sz w:val="22"/>
          <w:szCs w:val="22"/>
        </w:rPr>
        <w:lastRenderedPageBreak/>
        <w:t>Check current rules, regulations, and procedures on transfer of licenses and permits.</w:t>
      </w:r>
      <w:r w:rsidR="00163FE1" w:rsidRPr="005A4A7A">
        <w:rPr>
          <w:rFonts w:ascii="Arial" w:hAnsi="Arial" w:cs="Arial"/>
          <w:spacing w:val="-2"/>
          <w:sz w:val="22"/>
          <w:szCs w:val="22"/>
        </w:rPr>
        <w:t xml:space="preserve"> </w:t>
      </w:r>
      <w:r w:rsidRPr="005A4A7A">
        <w:rPr>
          <w:rFonts w:ascii="Arial" w:hAnsi="Arial" w:cs="Arial"/>
          <w:spacing w:val="-2"/>
          <w:sz w:val="22"/>
          <w:szCs w:val="22"/>
        </w:rPr>
        <w:t>Do not rely on it being the same as the last time you did it.</w:t>
      </w:r>
      <w:r w:rsidR="00163FE1" w:rsidRPr="005A4A7A">
        <w:rPr>
          <w:rFonts w:ascii="Arial" w:hAnsi="Arial" w:cs="Arial"/>
          <w:spacing w:val="-2"/>
          <w:sz w:val="22"/>
          <w:szCs w:val="22"/>
        </w:rPr>
        <w:t xml:space="preserve"> </w:t>
      </w:r>
      <w:proofErr w:type="gramStart"/>
      <w:r w:rsidRPr="005A4A7A">
        <w:rPr>
          <w:rFonts w:ascii="Arial" w:hAnsi="Arial" w:cs="Arial"/>
          <w:spacing w:val="-2"/>
          <w:sz w:val="22"/>
          <w:szCs w:val="22"/>
        </w:rPr>
        <w:t>Determine</w:t>
      </w:r>
      <w:proofErr w:type="gramEnd"/>
      <w:r w:rsidRPr="005A4A7A">
        <w:rPr>
          <w:rFonts w:ascii="Arial" w:hAnsi="Arial" w:cs="Arial"/>
          <w:spacing w:val="-2"/>
          <w:sz w:val="22"/>
          <w:szCs w:val="22"/>
        </w:rPr>
        <w:t xml:space="preserve"> what licenses and permits are </w:t>
      </w:r>
      <w:proofErr w:type="gramStart"/>
      <w:r w:rsidRPr="005A4A7A">
        <w:rPr>
          <w:rFonts w:ascii="Arial" w:hAnsi="Arial" w:cs="Arial"/>
          <w:spacing w:val="-2"/>
          <w:sz w:val="22"/>
          <w:szCs w:val="22"/>
        </w:rPr>
        <w:t>required</w:t>
      </w:r>
      <w:proofErr w:type="gramEnd"/>
      <w:r w:rsidRPr="005A4A7A">
        <w:rPr>
          <w:rFonts w:ascii="Arial" w:hAnsi="Arial" w:cs="Arial"/>
          <w:spacing w:val="-2"/>
          <w:sz w:val="22"/>
          <w:szCs w:val="22"/>
        </w:rPr>
        <w:t xml:space="preserve"> for the business.</w:t>
      </w:r>
    </w:p>
    <w:p w14:paraId="5CE52AC7" w14:textId="6BFFBD3F" w:rsidR="00D93CC8" w:rsidRPr="005A4A7A" w:rsidRDefault="00D93CC8" w:rsidP="007F599D">
      <w:pPr>
        <w:numPr>
          <w:ilvl w:val="0"/>
          <w:numId w:val="10"/>
        </w:numPr>
        <w:tabs>
          <w:tab w:val="left" w:pos="-720"/>
        </w:tabs>
        <w:suppressAutoHyphens/>
        <w:spacing w:after="120" w:line="240" w:lineRule="exact"/>
        <w:ind w:left="360"/>
        <w:rPr>
          <w:rFonts w:ascii="Arial" w:hAnsi="Arial" w:cs="Arial"/>
          <w:spacing w:val="-2"/>
          <w:sz w:val="22"/>
          <w:szCs w:val="22"/>
        </w:rPr>
      </w:pPr>
      <w:r w:rsidRPr="005A4A7A">
        <w:rPr>
          <w:rFonts w:ascii="Arial" w:hAnsi="Arial" w:cs="Arial"/>
          <w:spacing w:val="-2"/>
          <w:sz w:val="22"/>
          <w:szCs w:val="22"/>
        </w:rPr>
        <w:t xml:space="preserve">Obtain verification of items on financial statements or </w:t>
      </w:r>
      <w:r w:rsidR="001E3B99" w:rsidRPr="005A4A7A">
        <w:rPr>
          <w:rFonts w:ascii="Arial" w:hAnsi="Arial" w:cs="Arial"/>
          <w:spacing w:val="-2"/>
          <w:sz w:val="22"/>
          <w:szCs w:val="22"/>
        </w:rPr>
        <w:t>e</w:t>
      </w:r>
      <w:r w:rsidRPr="005A4A7A">
        <w:rPr>
          <w:rFonts w:ascii="Arial" w:hAnsi="Arial" w:cs="Arial"/>
          <w:spacing w:val="-2"/>
          <w:sz w:val="22"/>
          <w:szCs w:val="22"/>
        </w:rPr>
        <w:t>nsure that the client is obtaining such verification from an accountant or other source.</w:t>
      </w:r>
      <w:r w:rsidR="00163FE1" w:rsidRPr="005A4A7A">
        <w:rPr>
          <w:rFonts w:ascii="Arial" w:hAnsi="Arial" w:cs="Arial"/>
          <w:spacing w:val="-2"/>
          <w:sz w:val="22"/>
          <w:szCs w:val="22"/>
        </w:rPr>
        <w:t xml:space="preserve"> </w:t>
      </w:r>
      <w:r w:rsidRPr="005A4A7A">
        <w:rPr>
          <w:rFonts w:ascii="Arial" w:hAnsi="Arial" w:cs="Arial"/>
          <w:spacing w:val="-2"/>
          <w:sz w:val="22"/>
          <w:szCs w:val="22"/>
        </w:rPr>
        <w:t xml:space="preserve">The responsibility for such verification should </w:t>
      </w:r>
      <w:proofErr w:type="gramStart"/>
      <w:r w:rsidRPr="005A4A7A">
        <w:rPr>
          <w:rFonts w:ascii="Arial" w:hAnsi="Arial" w:cs="Arial"/>
          <w:spacing w:val="-2"/>
          <w:sz w:val="22"/>
          <w:szCs w:val="22"/>
        </w:rPr>
        <w:t>be clarified</w:t>
      </w:r>
      <w:proofErr w:type="gramEnd"/>
      <w:r w:rsidRPr="005A4A7A">
        <w:rPr>
          <w:rFonts w:ascii="Arial" w:hAnsi="Arial" w:cs="Arial"/>
          <w:spacing w:val="-2"/>
          <w:sz w:val="22"/>
          <w:szCs w:val="22"/>
        </w:rPr>
        <w:t xml:space="preserve"> in writing and </w:t>
      </w:r>
      <w:proofErr w:type="gramStart"/>
      <w:r w:rsidRPr="005A4A7A">
        <w:rPr>
          <w:rFonts w:ascii="Arial" w:hAnsi="Arial" w:cs="Arial"/>
          <w:spacing w:val="-2"/>
          <w:sz w:val="22"/>
          <w:szCs w:val="22"/>
        </w:rPr>
        <w:t>is best delegated</w:t>
      </w:r>
      <w:proofErr w:type="gramEnd"/>
      <w:r w:rsidRPr="005A4A7A">
        <w:rPr>
          <w:rFonts w:ascii="Arial" w:hAnsi="Arial" w:cs="Arial"/>
          <w:spacing w:val="-2"/>
          <w:sz w:val="22"/>
          <w:szCs w:val="22"/>
        </w:rPr>
        <w:t xml:space="preserve"> to the client</w:t>
      </w:r>
      <w:r w:rsidR="00163FE1" w:rsidRPr="005A4A7A">
        <w:rPr>
          <w:rFonts w:ascii="Arial" w:hAnsi="Arial" w:cs="Arial"/>
          <w:spacing w:val="-2"/>
          <w:sz w:val="22"/>
          <w:szCs w:val="22"/>
        </w:rPr>
        <w:t>’</w:t>
      </w:r>
      <w:r w:rsidRPr="005A4A7A">
        <w:rPr>
          <w:rFonts w:ascii="Arial" w:hAnsi="Arial" w:cs="Arial"/>
          <w:spacing w:val="-2"/>
          <w:sz w:val="22"/>
          <w:szCs w:val="22"/>
        </w:rPr>
        <w:t>s accountant.</w:t>
      </w:r>
      <w:r w:rsidR="00163FE1" w:rsidRPr="005A4A7A">
        <w:rPr>
          <w:rFonts w:ascii="Arial" w:hAnsi="Arial" w:cs="Arial"/>
          <w:spacing w:val="-2"/>
          <w:sz w:val="22"/>
          <w:szCs w:val="22"/>
        </w:rPr>
        <w:t xml:space="preserve"> </w:t>
      </w:r>
      <w:r w:rsidR="00C53CF3" w:rsidRPr="005A4A7A">
        <w:rPr>
          <w:rFonts w:ascii="Arial" w:hAnsi="Arial" w:cs="Arial"/>
          <w:spacing w:val="-2"/>
          <w:sz w:val="22"/>
          <w:szCs w:val="22"/>
        </w:rPr>
        <w:t>Help a buyer client consider what financial statement information is most critical for the buyer</w:t>
      </w:r>
      <w:r w:rsidR="00163FE1" w:rsidRPr="005A4A7A">
        <w:rPr>
          <w:rFonts w:ascii="Arial" w:hAnsi="Arial" w:cs="Arial"/>
          <w:spacing w:val="-2"/>
          <w:sz w:val="22"/>
          <w:szCs w:val="22"/>
        </w:rPr>
        <w:t>’</w:t>
      </w:r>
      <w:r w:rsidR="00C53CF3" w:rsidRPr="005A4A7A">
        <w:rPr>
          <w:rFonts w:ascii="Arial" w:hAnsi="Arial" w:cs="Arial"/>
          <w:spacing w:val="-2"/>
          <w:sz w:val="22"/>
          <w:szCs w:val="22"/>
        </w:rPr>
        <w:t>s success (</w:t>
      </w:r>
      <w:r w:rsidR="00C53CF3" w:rsidRPr="005A4A7A">
        <w:rPr>
          <w:rFonts w:ascii="Arial" w:hAnsi="Arial" w:cs="Arial"/>
          <w:i/>
          <w:spacing w:val="-2"/>
          <w:sz w:val="22"/>
          <w:szCs w:val="22"/>
        </w:rPr>
        <w:t>e.g.</w:t>
      </w:r>
      <w:r w:rsidR="00C53CF3" w:rsidRPr="005A4A7A">
        <w:rPr>
          <w:rFonts w:ascii="Arial" w:hAnsi="Arial" w:cs="Arial"/>
          <w:spacing w:val="-2"/>
          <w:sz w:val="22"/>
          <w:szCs w:val="22"/>
        </w:rPr>
        <w:t>, gross sales, net income, or sales from a particular division) and tailor the seller</w:t>
      </w:r>
      <w:r w:rsidR="00163FE1" w:rsidRPr="005A4A7A">
        <w:rPr>
          <w:rFonts w:ascii="Arial" w:hAnsi="Arial" w:cs="Arial"/>
          <w:spacing w:val="-2"/>
          <w:sz w:val="22"/>
          <w:szCs w:val="22"/>
        </w:rPr>
        <w:t>’</w:t>
      </w:r>
      <w:r w:rsidR="00C53CF3" w:rsidRPr="005A4A7A">
        <w:rPr>
          <w:rFonts w:ascii="Arial" w:hAnsi="Arial" w:cs="Arial"/>
          <w:spacing w:val="-2"/>
          <w:sz w:val="22"/>
          <w:szCs w:val="22"/>
        </w:rPr>
        <w:t>s representations in the purchase agreement to protect the buyer</w:t>
      </w:r>
      <w:r w:rsidR="00163FE1" w:rsidRPr="005A4A7A">
        <w:rPr>
          <w:rFonts w:ascii="Arial" w:hAnsi="Arial" w:cs="Arial"/>
          <w:spacing w:val="-2"/>
          <w:sz w:val="22"/>
          <w:szCs w:val="22"/>
        </w:rPr>
        <w:t>’</w:t>
      </w:r>
      <w:r w:rsidR="00C53CF3" w:rsidRPr="005A4A7A">
        <w:rPr>
          <w:rFonts w:ascii="Arial" w:hAnsi="Arial" w:cs="Arial"/>
          <w:spacing w:val="-2"/>
          <w:sz w:val="22"/>
          <w:szCs w:val="22"/>
        </w:rPr>
        <w:t>s interest in the accuracy of such information.</w:t>
      </w:r>
      <w:r w:rsidR="00163FE1" w:rsidRPr="005A4A7A">
        <w:rPr>
          <w:rFonts w:ascii="Arial" w:hAnsi="Arial" w:cs="Arial"/>
          <w:spacing w:val="-2"/>
          <w:sz w:val="22"/>
          <w:szCs w:val="22"/>
        </w:rPr>
        <w:t xml:space="preserve"> </w:t>
      </w:r>
    </w:p>
    <w:p w14:paraId="5BA92628" w14:textId="784C4B71" w:rsidR="00050D19" w:rsidRPr="005A4A7A" w:rsidRDefault="00050D19" w:rsidP="007F599D">
      <w:pPr>
        <w:numPr>
          <w:ilvl w:val="0"/>
          <w:numId w:val="10"/>
        </w:numPr>
        <w:tabs>
          <w:tab w:val="left" w:pos="-720"/>
        </w:tabs>
        <w:suppressAutoHyphens/>
        <w:spacing w:after="120" w:line="240" w:lineRule="exact"/>
        <w:ind w:left="360"/>
        <w:rPr>
          <w:rFonts w:ascii="Arial" w:hAnsi="Arial" w:cs="Arial"/>
          <w:spacing w:val="-2"/>
          <w:sz w:val="22"/>
          <w:szCs w:val="22"/>
        </w:rPr>
      </w:pPr>
      <w:proofErr w:type="gramStart"/>
      <w:r w:rsidRPr="005A4A7A">
        <w:rPr>
          <w:rFonts w:ascii="Arial" w:hAnsi="Arial" w:cs="Arial"/>
          <w:spacing w:val="-2"/>
          <w:sz w:val="22"/>
          <w:szCs w:val="22"/>
        </w:rPr>
        <w:t>Determine</w:t>
      </w:r>
      <w:proofErr w:type="gramEnd"/>
      <w:r w:rsidRPr="005A4A7A">
        <w:rPr>
          <w:rFonts w:ascii="Arial" w:hAnsi="Arial" w:cs="Arial"/>
          <w:spacing w:val="-2"/>
          <w:sz w:val="22"/>
          <w:szCs w:val="22"/>
        </w:rPr>
        <w:t xml:space="preserve"> if any party </w:t>
      </w:r>
      <w:proofErr w:type="gramStart"/>
      <w:r w:rsidRPr="005A4A7A">
        <w:rPr>
          <w:rFonts w:ascii="Arial" w:hAnsi="Arial" w:cs="Arial"/>
          <w:spacing w:val="-2"/>
          <w:sz w:val="22"/>
          <w:szCs w:val="22"/>
        </w:rPr>
        <w:t>is required to</w:t>
      </w:r>
      <w:proofErr w:type="gramEnd"/>
      <w:r w:rsidRPr="005A4A7A">
        <w:rPr>
          <w:rFonts w:ascii="Arial" w:hAnsi="Arial" w:cs="Arial"/>
          <w:spacing w:val="-2"/>
          <w:sz w:val="22"/>
          <w:szCs w:val="22"/>
        </w:rPr>
        <w:t xml:space="preserve"> </w:t>
      </w:r>
      <w:proofErr w:type="gramStart"/>
      <w:r w:rsidRPr="005A4A7A">
        <w:rPr>
          <w:rFonts w:ascii="Arial" w:hAnsi="Arial" w:cs="Arial"/>
          <w:spacing w:val="-2"/>
          <w:sz w:val="22"/>
          <w:szCs w:val="22"/>
        </w:rPr>
        <w:t>comply with</w:t>
      </w:r>
      <w:proofErr w:type="gramEnd"/>
      <w:r w:rsidRPr="005A4A7A">
        <w:rPr>
          <w:rFonts w:ascii="Arial" w:hAnsi="Arial" w:cs="Arial"/>
          <w:spacing w:val="-2"/>
          <w:sz w:val="22"/>
          <w:szCs w:val="22"/>
        </w:rPr>
        <w:t xml:space="preserve"> any federal or state securities </w:t>
      </w:r>
      <w:proofErr w:type="gramStart"/>
      <w:r w:rsidRPr="005A4A7A">
        <w:rPr>
          <w:rFonts w:ascii="Arial" w:hAnsi="Arial" w:cs="Arial"/>
          <w:spacing w:val="-2"/>
          <w:sz w:val="22"/>
          <w:szCs w:val="22"/>
        </w:rPr>
        <w:t>laws</w:t>
      </w:r>
      <w:r w:rsidR="00855F51">
        <w:rPr>
          <w:rFonts w:ascii="Arial" w:hAnsi="Arial" w:cs="Arial"/>
          <w:spacing w:val="-2"/>
          <w:sz w:val="22"/>
          <w:szCs w:val="22"/>
        </w:rPr>
        <w:t>—i.e.</w:t>
      </w:r>
      <w:proofErr w:type="gramEnd"/>
      <w:r w:rsidR="00855F51">
        <w:rPr>
          <w:rFonts w:ascii="Arial" w:hAnsi="Arial" w:cs="Arial"/>
          <w:spacing w:val="-2"/>
          <w:sz w:val="22"/>
          <w:szCs w:val="22"/>
        </w:rPr>
        <w:t xml:space="preserve">, whether there is an applicable </w:t>
      </w:r>
      <w:proofErr w:type="gramStart"/>
      <w:r w:rsidR="00855F51">
        <w:rPr>
          <w:rFonts w:ascii="Arial" w:hAnsi="Arial" w:cs="Arial"/>
          <w:spacing w:val="-2"/>
          <w:sz w:val="22"/>
          <w:szCs w:val="22"/>
        </w:rPr>
        <w:t>exception</w:t>
      </w:r>
      <w:r w:rsidR="009C7987">
        <w:rPr>
          <w:rFonts w:ascii="Arial" w:hAnsi="Arial" w:cs="Arial"/>
          <w:spacing w:val="-2"/>
          <w:sz w:val="22"/>
          <w:szCs w:val="22"/>
        </w:rPr>
        <w:t>—</w:t>
      </w:r>
      <w:proofErr w:type="gramEnd"/>
      <w:r w:rsidR="009C7987">
        <w:rPr>
          <w:rFonts w:ascii="Arial" w:hAnsi="Arial" w:cs="Arial"/>
          <w:spacing w:val="-2"/>
          <w:sz w:val="22"/>
          <w:szCs w:val="22"/>
        </w:rPr>
        <w:t xml:space="preserve">for </w:t>
      </w:r>
      <w:r w:rsidRPr="005A4A7A">
        <w:rPr>
          <w:rFonts w:ascii="Arial" w:hAnsi="Arial" w:cs="Arial"/>
          <w:spacing w:val="-2"/>
          <w:sz w:val="22"/>
          <w:szCs w:val="22"/>
        </w:rPr>
        <w:t xml:space="preserve">an equity sale or payment of the purchase price over time. </w:t>
      </w:r>
    </w:p>
    <w:p w14:paraId="44E221D6" w14:textId="7D728C5F" w:rsidR="00D93CC8" w:rsidRPr="005A4A7A" w:rsidRDefault="00050D19" w:rsidP="007F599D">
      <w:pPr>
        <w:numPr>
          <w:ilvl w:val="0"/>
          <w:numId w:val="10"/>
        </w:numPr>
        <w:tabs>
          <w:tab w:val="left" w:pos="-720"/>
        </w:tabs>
        <w:suppressAutoHyphens/>
        <w:spacing w:after="120" w:line="240" w:lineRule="exact"/>
        <w:ind w:left="360"/>
        <w:rPr>
          <w:rFonts w:ascii="Arial" w:hAnsi="Arial" w:cs="Arial"/>
          <w:spacing w:val="-2"/>
          <w:sz w:val="22"/>
          <w:szCs w:val="22"/>
        </w:rPr>
      </w:pPr>
      <w:r w:rsidRPr="005A4A7A">
        <w:rPr>
          <w:rFonts w:ascii="Arial" w:hAnsi="Arial" w:cs="Arial"/>
          <w:spacing w:val="-2"/>
          <w:sz w:val="22"/>
          <w:szCs w:val="22"/>
        </w:rPr>
        <w:t xml:space="preserve">Ensure each company obtains proper authorization to </w:t>
      </w:r>
      <w:proofErr w:type="gramStart"/>
      <w:r w:rsidRPr="005A4A7A">
        <w:rPr>
          <w:rFonts w:ascii="Arial" w:hAnsi="Arial" w:cs="Arial"/>
          <w:spacing w:val="-2"/>
          <w:sz w:val="22"/>
          <w:szCs w:val="22"/>
        </w:rPr>
        <w:t>enter into</w:t>
      </w:r>
      <w:proofErr w:type="gramEnd"/>
      <w:r w:rsidRPr="005A4A7A">
        <w:rPr>
          <w:rFonts w:ascii="Arial" w:hAnsi="Arial" w:cs="Arial"/>
          <w:spacing w:val="-2"/>
          <w:sz w:val="22"/>
          <w:szCs w:val="22"/>
        </w:rPr>
        <w:t xml:space="preserve"> and consummate the sale </w:t>
      </w:r>
      <w:proofErr w:type="gramStart"/>
      <w:r w:rsidRPr="005A4A7A">
        <w:rPr>
          <w:rFonts w:ascii="Arial" w:hAnsi="Arial" w:cs="Arial"/>
          <w:spacing w:val="-2"/>
          <w:sz w:val="22"/>
          <w:szCs w:val="22"/>
        </w:rPr>
        <w:t>transactions—</w:t>
      </w:r>
      <w:proofErr w:type="gramEnd"/>
      <w:r w:rsidRPr="005A4A7A">
        <w:rPr>
          <w:rFonts w:ascii="Arial" w:hAnsi="Arial" w:cs="Arial"/>
          <w:spacing w:val="-2"/>
          <w:sz w:val="22"/>
          <w:szCs w:val="22"/>
        </w:rPr>
        <w:t>e.g., board, shareholder, manager, or member consents.</w:t>
      </w:r>
    </w:p>
    <w:p w14:paraId="49540F6D" w14:textId="27AC1CAD" w:rsidR="00D93CC8" w:rsidRPr="005A4A7A" w:rsidRDefault="00D93CC8" w:rsidP="007F599D">
      <w:pPr>
        <w:numPr>
          <w:ilvl w:val="0"/>
          <w:numId w:val="10"/>
        </w:numPr>
        <w:tabs>
          <w:tab w:val="left" w:pos="-720"/>
        </w:tabs>
        <w:suppressAutoHyphens/>
        <w:spacing w:after="120" w:line="240" w:lineRule="exact"/>
        <w:ind w:left="360"/>
        <w:rPr>
          <w:rFonts w:ascii="Arial" w:hAnsi="Arial" w:cs="Arial"/>
          <w:spacing w:val="-2"/>
          <w:sz w:val="22"/>
          <w:szCs w:val="22"/>
        </w:rPr>
      </w:pPr>
      <w:r w:rsidRPr="005A4A7A">
        <w:rPr>
          <w:rFonts w:ascii="Arial" w:hAnsi="Arial" w:cs="Arial"/>
          <w:spacing w:val="-2"/>
          <w:sz w:val="22"/>
          <w:szCs w:val="22"/>
          <w:lang w:val="en-CA"/>
        </w:rPr>
        <w:fldChar w:fldCharType="begin"/>
      </w:r>
      <w:r w:rsidRPr="005A4A7A">
        <w:rPr>
          <w:rFonts w:ascii="Arial" w:hAnsi="Arial" w:cs="Arial"/>
          <w:spacing w:val="-2"/>
          <w:sz w:val="22"/>
          <w:szCs w:val="22"/>
          <w:lang w:val="en-CA"/>
        </w:rPr>
        <w:instrText xml:space="preserve"> SEQ CHAPTER \h \r 1</w:instrText>
      </w:r>
      <w:r w:rsidRPr="005A4A7A">
        <w:rPr>
          <w:rFonts w:ascii="Arial" w:hAnsi="Arial" w:cs="Arial"/>
          <w:spacing w:val="-2"/>
          <w:sz w:val="22"/>
          <w:szCs w:val="22"/>
        </w:rPr>
        <w:fldChar w:fldCharType="end"/>
      </w:r>
      <w:r w:rsidRPr="005A4A7A">
        <w:rPr>
          <w:rFonts w:ascii="Arial" w:hAnsi="Arial" w:cs="Arial"/>
          <w:spacing w:val="-2"/>
          <w:sz w:val="22"/>
          <w:szCs w:val="22"/>
        </w:rPr>
        <w:t xml:space="preserve">Verify that all intellectual property assets, including trademarks, service marks, copyrights, works of authorship, trade secrets, patents, and </w:t>
      </w:r>
      <w:r w:rsidR="00163FE1" w:rsidRPr="005A4A7A">
        <w:rPr>
          <w:rFonts w:ascii="Arial" w:hAnsi="Arial" w:cs="Arial"/>
          <w:spacing w:val="-2"/>
          <w:sz w:val="22"/>
          <w:szCs w:val="22"/>
        </w:rPr>
        <w:t>“</w:t>
      </w:r>
      <w:r w:rsidRPr="005A4A7A">
        <w:rPr>
          <w:rFonts w:ascii="Arial" w:hAnsi="Arial" w:cs="Arial"/>
          <w:spacing w:val="-2"/>
          <w:sz w:val="22"/>
          <w:szCs w:val="22"/>
        </w:rPr>
        <w:t>know how</w:t>
      </w:r>
      <w:r w:rsidR="00163FE1" w:rsidRPr="005A4A7A">
        <w:rPr>
          <w:rFonts w:ascii="Arial" w:hAnsi="Arial" w:cs="Arial"/>
          <w:spacing w:val="-2"/>
          <w:sz w:val="22"/>
          <w:szCs w:val="22"/>
        </w:rPr>
        <w:t>”</w:t>
      </w:r>
      <w:r w:rsidRPr="005A4A7A">
        <w:rPr>
          <w:rFonts w:ascii="Arial" w:hAnsi="Arial" w:cs="Arial"/>
          <w:spacing w:val="-2"/>
          <w:sz w:val="22"/>
          <w:szCs w:val="22"/>
        </w:rPr>
        <w:t xml:space="preserve"> </w:t>
      </w:r>
      <w:proofErr w:type="gramStart"/>
      <w:r w:rsidRPr="005A4A7A">
        <w:rPr>
          <w:rFonts w:ascii="Arial" w:hAnsi="Arial" w:cs="Arial"/>
          <w:spacing w:val="-2"/>
          <w:sz w:val="22"/>
          <w:szCs w:val="22"/>
        </w:rPr>
        <w:t>are included</w:t>
      </w:r>
      <w:proofErr w:type="gramEnd"/>
      <w:r w:rsidRPr="005A4A7A">
        <w:rPr>
          <w:rFonts w:ascii="Arial" w:hAnsi="Arial" w:cs="Arial"/>
          <w:spacing w:val="-2"/>
          <w:sz w:val="22"/>
          <w:szCs w:val="22"/>
        </w:rPr>
        <w:t xml:space="preserve"> in the sale of the business.</w:t>
      </w:r>
      <w:r w:rsidR="00163FE1" w:rsidRPr="005A4A7A">
        <w:rPr>
          <w:rFonts w:ascii="Arial" w:hAnsi="Arial" w:cs="Arial"/>
          <w:spacing w:val="-2"/>
          <w:sz w:val="22"/>
          <w:szCs w:val="22"/>
        </w:rPr>
        <w:t xml:space="preserve"> </w:t>
      </w:r>
      <w:r w:rsidR="00C53CF3" w:rsidRPr="005A4A7A">
        <w:rPr>
          <w:rFonts w:ascii="Arial" w:hAnsi="Arial" w:cs="Arial"/>
          <w:spacing w:val="-2"/>
          <w:sz w:val="22"/>
          <w:szCs w:val="22"/>
        </w:rPr>
        <w:t>Request from seller representations that such intellectual property assets do not</w:t>
      </w:r>
      <w:r w:rsidR="001E3B99" w:rsidRPr="005A4A7A">
        <w:rPr>
          <w:rFonts w:ascii="Arial" w:hAnsi="Arial" w:cs="Arial"/>
          <w:spacing w:val="-2"/>
          <w:sz w:val="22"/>
          <w:szCs w:val="22"/>
        </w:rPr>
        <w:t xml:space="preserve"> infringe the rights of others. The </w:t>
      </w:r>
      <w:r w:rsidR="00C53CF3" w:rsidRPr="005A4A7A">
        <w:rPr>
          <w:rFonts w:ascii="Arial" w:hAnsi="Arial" w:cs="Arial"/>
          <w:spacing w:val="-2"/>
          <w:sz w:val="22"/>
          <w:szCs w:val="22"/>
        </w:rPr>
        <w:t>seller will often want such representations limited to only knowledge or notice of infringement.</w:t>
      </w:r>
      <w:r w:rsidR="00163FE1" w:rsidRPr="005A4A7A">
        <w:rPr>
          <w:rFonts w:ascii="Arial" w:hAnsi="Arial" w:cs="Arial"/>
          <w:spacing w:val="-2"/>
          <w:sz w:val="22"/>
          <w:szCs w:val="22"/>
        </w:rPr>
        <w:t xml:space="preserve"> </w:t>
      </w:r>
    </w:p>
    <w:p w14:paraId="1C4BB9CB" w14:textId="3598BA0D" w:rsidR="00D93CC8" w:rsidRPr="005A4A7A" w:rsidRDefault="00D93CC8" w:rsidP="007F599D">
      <w:pPr>
        <w:numPr>
          <w:ilvl w:val="0"/>
          <w:numId w:val="10"/>
        </w:numPr>
        <w:tabs>
          <w:tab w:val="left" w:pos="-720"/>
        </w:tabs>
        <w:suppressAutoHyphens/>
        <w:spacing w:after="120" w:line="240" w:lineRule="exact"/>
        <w:ind w:left="360"/>
        <w:rPr>
          <w:rFonts w:ascii="Arial" w:hAnsi="Arial" w:cs="Arial"/>
          <w:spacing w:val="-2"/>
          <w:sz w:val="22"/>
          <w:szCs w:val="22"/>
        </w:rPr>
      </w:pPr>
      <w:r w:rsidRPr="005A4A7A">
        <w:rPr>
          <w:rFonts w:ascii="Arial" w:hAnsi="Arial" w:cs="Arial"/>
          <w:b/>
          <w:spacing w:val="-2"/>
          <w:sz w:val="22"/>
          <w:szCs w:val="22"/>
        </w:rPr>
        <w:t>DOCUMENT YOUR DUE DILIGENCE.</w:t>
      </w:r>
      <w:r w:rsidR="00163FE1" w:rsidRPr="005A4A7A">
        <w:rPr>
          <w:rFonts w:ascii="Arial" w:hAnsi="Arial" w:cs="Arial"/>
          <w:spacing w:val="-2"/>
          <w:sz w:val="22"/>
          <w:szCs w:val="22"/>
        </w:rPr>
        <w:t xml:space="preserve"> </w:t>
      </w:r>
      <w:r w:rsidRPr="005A4A7A">
        <w:rPr>
          <w:rFonts w:ascii="Arial" w:hAnsi="Arial" w:cs="Arial"/>
          <w:spacing w:val="-2"/>
          <w:sz w:val="22"/>
          <w:szCs w:val="22"/>
        </w:rPr>
        <w:t>If stock is being purchased or n</w:t>
      </w:r>
      <w:r w:rsidR="0007132C" w:rsidRPr="005A4A7A">
        <w:rPr>
          <w:rFonts w:ascii="Arial" w:hAnsi="Arial" w:cs="Arial"/>
          <w:spacing w:val="-2"/>
          <w:sz w:val="22"/>
          <w:szCs w:val="22"/>
        </w:rPr>
        <w:t xml:space="preserve">otes are being issued, </w:t>
      </w:r>
      <w:r w:rsidR="002B63AF" w:rsidRPr="005A4A7A">
        <w:rPr>
          <w:rFonts w:ascii="Arial" w:hAnsi="Arial" w:cs="Arial"/>
          <w:spacing w:val="-2"/>
          <w:sz w:val="22"/>
          <w:szCs w:val="22"/>
        </w:rPr>
        <w:t xml:space="preserve">be mindful that </w:t>
      </w:r>
      <w:r w:rsidR="0007132C" w:rsidRPr="005A4A7A">
        <w:rPr>
          <w:rFonts w:ascii="Arial" w:hAnsi="Arial" w:cs="Arial"/>
          <w:spacing w:val="-2"/>
          <w:sz w:val="22"/>
          <w:szCs w:val="22"/>
        </w:rPr>
        <w:t>ORS 59.115</w:t>
      </w:r>
      <w:r w:rsidRPr="005A4A7A">
        <w:rPr>
          <w:rFonts w:ascii="Arial" w:hAnsi="Arial" w:cs="Arial"/>
          <w:spacing w:val="-2"/>
          <w:sz w:val="22"/>
          <w:szCs w:val="22"/>
        </w:rPr>
        <w:t xml:space="preserve"> im</w:t>
      </w:r>
      <w:r w:rsidR="002B63AF" w:rsidRPr="005A4A7A">
        <w:rPr>
          <w:rFonts w:ascii="Arial" w:hAnsi="Arial" w:cs="Arial"/>
          <w:spacing w:val="-2"/>
          <w:sz w:val="22"/>
          <w:szCs w:val="22"/>
        </w:rPr>
        <w:t>poses liability</w:t>
      </w:r>
      <w:r w:rsidR="00C567E4" w:rsidRPr="005A4A7A">
        <w:rPr>
          <w:rFonts w:ascii="Arial" w:hAnsi="Arial" w:cs="Arial"/>
          <w:spacing w:val="-2"/>
          <w:sz w:val="22"/>
          <w:szCs w:val="22"/>
        </w:rPr>
        <w:t xml:space="preserve"> on persons </w:t>
      </w:r>
      <w:r w:rsidR="002B63AF" w:rsidRPr="005A4A7A">
        <w:rPr>
          <w:rFonts w:ascii="Arial" w:hAnsi="Arial" w:cs="Arial"/>
          <w:spacing w:val="-2"/>
          <w:sz w:val="22"/>
          <w:szCs w:val="22"/>
        </w:rPr>
        <w:t>who sell</w:t>
      </w:r>
      <w:r w:rsidR="00C567E4" w:rsidRPr="005A4A7A">
        <w:rPr>
          <w:rFonts w:ascii="Arial" w:hAnsi="Arial" w:cs="Arial"/>
          <w:spacing w:val="-2"/>
          <w:sz w:val="22"/>
          <w:szCs w:val="22"/>
        </w:rPr>
        <w:t xml:space="preserve"> or solicit the sale of</w:t>
      </w:r>
      <w:r w:rsidR="002B63AF" w:rsidRPr="005A4A7A">
        <w:rPr>
          <w:rFonts w:ascii="Arial" w:hAnsi="Arial" w:cs="Arial"/>
          <w:spacing w:val="-2"/>
          <w:sz w:val="22"/>
          <w:szCs w:val="22"/>
        </w:rPr>
        <w:t xml:space="preserve"> securities </w:t>
      </w:r>
      <w:r w:rsidR="0007132C" w:rsidRPr="005A4A7A">
        <w:rPr>
          <w:rFonts w:ascii="Arial" w:hAnsi="Arial" w:cs="Arial"/>
          <w:spacing w:val="-2"/>
          <w:sz w:val="22"/>
          <w:szCs w:val="22"/>
        </w:rPr>
        <w:t>in violation of ORS 59.135</w:t>
      </w:r>
      <w:r w:rsidR="002B63AF" w:rsidRPr="005A4A7A">
        <w:rPr>
          <w:rFonts w:ascii="Arial" w:hAnsi="Arial" w:cs="Arial"/>
          <w:spacing w:val="-2"/>
          <w:sz w:val="22"/>
          <w:szCs w:val="22"/>
        </w:rPr>
        <w:t xml:space="preserve">(1) or (3) (re: fraud and deceit with respect to securities or securities business) or </w:t>
      </w:r>
      <w:r w:rsidR="00163FE1" w:rsidRPr="005A4A7A">
        <w:rPr>
          <w:rFonts w:ascii="Arial" w:hAnsi="Arial" w:cs="Arial"/>
          <w:spacing w:val="-2"/>
          <w:sz w:val="22"/>
          <w:szCs w:val="22"/>
        </w:rPr>
        <w:t>“</w:t>
      </w:r>
      <w:r w:rsidR="002B63AF" w:rsidRPr="005A4A7A">
        <w:rPr>
          <w:rFonts w:ascii="Arial" w:hAnsi="Arial" w:cs="Arial"/>
          <w:spacing w:val="-2"/>
          <w:sz w:val="22"/>
          <w:szCs w:val="22"/>
        </w:rPr>
        <w:t>by means of an untrue statement of material fact or an omission to state a material fact.</w:t>
      </w:r>
      <w:r w:rsidR="00163FE1" w:rsidRPr="005A4A7A">
        <w:rPr>
          <w:rFonts w:ascii="Arial" w:hAnsi="Arial" w:cs="Arial"/>
          <w:spacing w:val="-2"/>
          <w:sz w:val="22"/>
          <w:szCs w:val="22"/>
        </w:rPr>
        <w:t xml:space="preserve">” </w:t>
      </w:r>
      <w:r w:rsidR="002B63AF" w:rsidRPr="005A4A7A">
        <w:rPr>
          <w:rFonts w:ascii="Arial" w:hAnsi="Arial" w:cs="Arial"/>
          <w:spacing w:val="-2"/>
          <w:sz w:val="22"/>
          <w:szCs w:val="22"/>
        </w:rPr>
        <w:t xml:space="preserve">The liability may also attach to </w:t>
      </w:r>
      <w:proofErr w:type="spellStart"/>
      <w:r w:rsidR="002B63AF" w:rsidRPr="005A4A7A">
        <w:rPr>
          <w:rFonts w:ascii="Arial" w:hAnsi="Arial" w:cs="Arial"/>
          <w:spacing w:val="-2"/>
          <w:sz w:val="22"/>
          <w:szCs w:val="22"/>
        </w:rPr>
        <w:t>nonsellers</w:t>
      </w:r>
      <w:proofErr w:type="spellEnd"/>
      <w:r w:rsidR="002B63AF" w:rsidRPr="005A4A7A">
        <w:rPr>
          <w:rFonts w:ascii="Arial" w:hAnsi="Arial" w:cs="Arial"/>
          <w:spacing w:val="-2"/>
          <w:sz w:val="22"/>
          <w:szCs w:val="22"/>
        </w:rPr>
        <w:t xml:space="preserve"> that control the seller, </w:t>
      </w:r>
      <w:r w:rsidR="00C567E4" w:rsidRPr="005A4A7A">
        <w:rPr>
          <w:rFonts w:ascii="Arial" w:hAnsi="Arial" w:cs="Arial"/>
          <w:spacing w:val="-2"/>
          <w:sz w:val="22"/>
          <w:szCs w:val="22"/>
        </w:rPr>
        <w:t xml:space="preserve">occupy a certain status in relation to the seller or </w:t>
      </w:r>
      <w:r w:rsidR="002B63AF" w:rsidRPr="005A4A7A">
        <w:rPr>
          <w:rFonts w:ascii="Arial" w:hAnsi="Arial" w:cs="Arial"/>
          <w:spacing w:val="-2"/>
          <w:sz w:val="22"/>
          <w:szCs w:val="22"/>
        </w:rPr>
        <w:t xml:space="preserve">perform certain functions for the seller or who </w:t>
      </w:r>
      <w:r w:rsidR="00163FE1" w:rsidRPr="005A4A7A">
        <w:rPr>
          <w:rFonts w:ascii="Arial" w:hAnsi="Arial" w:cs="Arial"/>
          <w:spacing w:val="-2"/>
          <w:sz w:val="22"/>
          <w:szCs w:val="22"/>
        </w:rPr>
        <w:t>“</w:t>
      </w:r>
      <w:r w:rsidR="002B63AF" w:rsidRPr="005A4A7A">
        <w:rPr>
          <w:rFonts w:ascii="Arial" w:hAnsi="Arial" w:cs="Arial"/>
          <w:spacing w:val="-2"/>
          <w:sz w:val="22"/>
          <w:szCs w:val="22"/>
        </w:rPr>
        <w:t>participated or materially aided in the sale of the security</w:t>
      </w:r>
      <w:r w:rsidR="00163FE1" w:rsidRPr="005A4A7A">
        <w:rPr>
          <w:rFonts w:ascii="Arial" w:hAnsi="Arial" w:cs="Arial"/>
          <w:spacing w:val="-2"/>
          <w:sz w:val="22"/>
          <w:szCs w:val="22"/>
        </w:rPr>
        <w:t>”</w:t>
      </w:r>
      <w:r w:rsidR="002B63AF" w:rsidRPr="005A4A7A">
        <w:rPr>
          <w:rFonts w:ascii="Arial" w:hAnsi="Arial" w:cs="Arial"/>
          <w:spacing w:val="-2"/>
          <w:sz w:val="22"/>
          <w:szCs w:val="22"/>
        </w:rPr>
        <w:t xml:space="preserve"> unless the </w:t>
      </w:r>
      <w:proofErr w:type="spellStart"/>
      <w:r w:rsidR="002B63AF" w:rsidRPr="005A4A7A">
        <w:rPr>
          <w:rFonts w:ascii="Arial" w:hAnsi="Arial" w:cs="Arial"/>
          <w:spacing w:val="-2"/>
          <w:sz w:val="22"/>
          <w:szCs w:val="22"/>
        </w:rPr>
        <w:t>nonseller</w:t>
      </w:r>
      <w:proofErr w:type="spellEnd"/>
      <w:r w:rsidR="002B63AF" w:rsidRPr="005A4A7A">
        <w:rPr>
          <w:rFonts w:ascii="Arial" w:hAnsi="Arial" w:cs="Arial"/>
          <w:spacing w:val="-2"/>
          <w:sz w:val="22"/>
          <w:szCs w:val="22"/>
        </w:rPr>
        <w:t xml:space="preserve"> can prove </w:t>
      </w:r>
      <w:r w:rsidR="00163FE1" w:rsidRPr="005A4A7A">
        <w:rPr>
          <w:rFonts w:ascii="Arial" w:hAnsi="Arial" w:cs="Arial"/>
          <w:spacing w:val="-2"/>
          <w:sz w:val="22"/>
          <w:szCs w:val="22"/>
        </w:rPr>
        <w:t>“</w:t>
      </w:r>
      <w:r w:rsidR="002B63AF" w:rsidRPr="005A4A7A">
        <w:rPr>
          <w:rFonts w:ascii="Arial" w:hAnsi="Arial" w:cs="Arial"/>
          <w:spacing w:val="-2"/>
          <w:sz w:val="22"/>
          <w:szCs w:val="22"/>
        </w:rPr>
        <w:t xml:space="preserve">the </w:t>
      </w:r>
      <w:proofErr w:type="spellStart"/>
      <w:r w:rsidR="002B63AF" w:rsidRPr="005A4A7A">
        <w:rPr>
          <w:rFonts w:ascii="Arial" w:hAnsi="Arial" w:cs="Arial"/>
          <w:spacing w:val="-2"/>
          <w:sz w:val="22"/>
          <w:szCs w:val="22"/>
        </w:rPr>
        <w:t>nonseller</w:t>
      </w:r>
      <w:proofErr w:type="spellEnd"/>
      <w:r w:rsidR="002B63AF" w:rsidRPr="005A4A7A">
        <w:rPr>
          <w:rFonts w:ascii="Arial" w:hAnsi="Arial" w:cs="Arial"/>
          <w:spacing w:val="-2"/>
          <w:sz w:val="22"/>
          <w:szCs w:val="22"/>
        </w:rPr>
        <w:t xml:space="preserve"> did not know and, in the exercise of reasonable care, could not have known, of the existence of facts on which the liability is based.</w:t>
      </w:r>
      <w:r w:rsidR="00163FE1" w:rsidRPr="005A4A7A">
        <w:rPr>
          <w:rFonts w:ascii="Arial" w:hAnsi="Arial" w:cs="Arial"/>
          <w:spacing w:val="-2"/>
          <w:sz w:val="22"/>
          <w:szCs w:val="22"/>
        </w:rPr>
        <w:t xml:space="preserve">” </w:t>
      </w:r>
      <w:r w:rsidR="00C567E4" w:rsidRPr="005A4A7A">
        <w:rPr>
          <w:rFonts w:ascii="Arial" w:hAnsi="Arial" w:cs="Arial"/>
          <w:spacing w:val="-2"/>
          <w:sz w:val="22"/>
          <w:szCs w:val="22"/>
        </w:rPr>
        <w:t xml:space="preserve">This is a substantial burden and </w:t>
      </w:r>
      <w:proofErr w:type="gramStart"/>
      <w:r w:rsidR="00C567E4" w:rsidRPr="005A4A7A">
        <w:rPr>
          <w:rFonts w:ascii="Arial" w:hAnsi="Arial" w:cs="Arial"/>
          <w:spacing w:val="-2"/>
          <w:sz w:val="22"/>
          <w:szCs w:val="22"/>
        </w:rPr>
        <w:t>providing</w:t>
      </w:r>
      <w:proofErr w:type="gramEnd"/>
      <w:r w:rsidR="00C567E4" w:rsidRPr="005A4A7A">
        <w:rPr>
          <w:rFonts w:ascii="Arial" w:hAnsi="Arial" w:cs="Arial"/>
          <w:spacing w:val="-2"/>
          <w:sz w:val="22"/>
          <w:szCs w:val="22"/>
        </w:rPr>
        <w:t xml:space="preserve"> legal advice to the seller during an offering has </w:t>
      </w:r>
      <w:proofErr w:type="gramStart"/>
      <w:r w:rsidR="00C567E4" w:rsidRPr="005A4A7A">
        <w:rPr>
          <w:rFonts w:ascii="Arial" w:hAnsi="Arial" w:cs="Arial"/>
          <w:spacing w:val="-2"/>
          <w:sz w:val="22"/>
          <w:szCs w:val="22"/>
        </w:rPr>
        <w:t>been held</w:t>
      </w:r>
      <w:proofErr w:type="gramEnd"/>
      <w:r w:rsidR="00C567E4" w:rsidRPr="005A4A7A">
        <w:rPr>
          <w:rFonts w:ascii="Arial" w:hAnsi="Arial" w:cs="Arial"/>
          <w:spacing w:val="-2"/>
          <w:sz w:val="22"/>
          <w:szCs w:val="22"/>
        </w:rPr>
        <w:t xml:space="preserve"> to constitute providing material aid in the sale of a security.</w:t>
      </w:r>
      <w:r w:rsidR="00163FE1" w:rsidRPr="005A4A7A">
        <w:rPr>
          <w:rFonts w:ascii="Arial" w:hAnsi="Arial" w:cs="Arial"/>
          <w:spacing w:val="-2"/>
          <w:sz w:val="22"/>
          <w:szCs w:val="22"/>
        </w:rPr>
        <w:t xml:space="preserve"> </w:t>
      </w:r>
      <w:r w:rsidRPr="005A4A7A">
        <w:rPr>
          <w:rFonts w:ascii="Arial" w:hAnsi="Arial" w:cs="Arial"/>
          <w:spacing w:val="-2"/>
          <w:sz w:val="22"/>
          <w:szCs w:val="22"/>
        </w:rPr>
        <w:t>Document your due diligence</w:t>
      </w:r>
      <w:r w:rsidR="00C53CF3" w:rsidRPr="005A4A7A">
        <w:rPr>
          <w:rFonts w:ascii="Arial" w:hAnsi="Arial" w:cs="Arial"/>
          <w:spacing w:val="-2"/>
          <w:sz w:val="22"/>
          <w:szCs w:val="22"/>
        </w:rPr>
        <w:t xml:space="preserve"> to show that you did not know and could not have known such facts</w:t>
      </w:r>
      <w:r w:rsidRPr="005A4A7A">
        <w:rPr>
          <w:rFonts w:ascii="Arial" w:hAnsi="Arial" w:cs="Arial"/>
          <w:spacing w:val="-2"/>
          <w:sz w:val="22"/>
          <w:szCs w:val="22"/>
        </w:rPr>
        <w:t>.</w:t>
      </w:r>
    </w:p>
    <w:p w14:paraId="0942BF46" w14:textId="36A12738" w:rsidR="00D93CC8" w:rsidRPr="005A4A7A" w:rsidRDefault="00D93CC8" w:rsidP="007F599D">
      <w:pPr>
        <w:numPr>
          <w:ilvl w:val="0"/>
          <w:numId w:val="10"/>
        </w:numPr>
        <w:tabs>
          <w:tab w:val="left" w:pos="-720"/>
          <w:tab w:val="left" w:pos="0"/>
        </w:tabs>
        <w:suppressAutoHyphens/>
        <w:spacing w:after="120" w:line="240" w:lineRule="exact"/>
        <w:ind w:left="360"/>
        <w:rPr>
          <w:rFonts w:ascii="Arial" w:hAnsi="Arial" w:cs="Arial"/>
          <w:spacing w:val="-2"/>
          <w:sz w:val="22"/>
          <w:szCs w:val="22"/>
        </w:rPr>
      </w:pPr>
      <w:r w:rsidRPr="005A4A7A">
        <w:rPr>
          <w:rFonts w:ascii="Arial" w:hAnsi="Arial" w:cs="Arial"/>
          <w:spacing w:val="-2"/>
          <w:sz w:val="22"/>
          <w:szCs w:val="22"/>
        </w:rPr>
        <w:t xml:space="preserve">The contract of sale should specify what obligations of the seller are </w:t>
      </w:r>
      <w:proofErr w:type="gramStart"/>
      <w:r w:rsidRPr="005A4A7A">
        <w:rPr>
          <w:rFonts w:ascii="Arial" w:hAnsi="Arial" w:cs="Arial"/>
          <w:spacing w:val="-2"/>
          <w:sz w:val="22"/>
          <w:szCs w:val="22"/>
        </w:rPr>
        <w:t>being assumed</w:t>
      </w:r>
      <w:proofErr w:type="gramEnd"/>
      <w:r w:rsidRPr="005A4A7A">
        <w:rPr>
          <w:rFonts w:ascii="Arial" w:hAnsi="Arial" w:cs="Arial"/>
          <w:spacing w:val="-2"/>
          <w:sz w:val="22"/>
          <w:szCs w:val="22"/>
        </w:rPr>
        <w:t xml:space="preserve"> by </w:t>
      </w:r>
      <w:r w:rsidR="001E3B99" w:rsidRPr="005A4A7A">
        <w:rPr>
          <w:rFonts w:ascii="Arial" w:hAnsi="Arial" w:cs="Arial"/>
          <w:spacing w:val="-2"/>
          <w:sz w:val="22"/>
          <w:szCs w:val="22"/>
        </w:rPr>
        <w:t xml:space="preserve">the </w:t>
      </w:r>
      <w:r w:rsidRPr="005A4A7A">
        <w:rPr>
          <w:rFonts w:ascii="Arial" w:hAnsi="Arial" w:cs="Arial"/>
          <w:spacing w:val="-2"/>
          <w:sz w:val="22"/>
          <w:szCs w:val="22"/>
        </w:rPr>
        <w:t xml:space="preserve">buyer and what obligations of </w:t>
      </w:r>
      <w:r w:rsidR="001E3B99" w:rsidRPr="005A4A7A">
        <w:rPr>
          <w:rFonts w:ascii="Arial" w:hAnsi="Arial" w:cs="Arial"/>
          <w:spacing w:val="-2"/>
          <w:sz w:val="22"/>
          <w:szCs w:val="22"/>
        </w:rPr>
        <w:t xml:space="preserve">the </w:t>
      </w:r>
      <w:r w:rsidRPr="005A4A7A">
        <w:rPr>
          <w:rFonts w:ascii="Arial" w:hAnsi="Arial" w:cs="Arial"/>
          <w:spacing w:val="-2"/>
          <w:sz w:val="22"/>
          <w:szCs w:val="22"/>
        </w:rPr>
        <w:t xml:space="preserve">seller are not </w:t>
      </w:r>
      <w:proofErr w:type="gramStart"/>
      <w:r w:rsidRPr="005A4A7A">
        <w:rPr>
          <w:rFonts w:ascii="Arial" w:hAnsi="Arial" w:cs="Arial"/>
          <w:spacing w:val="-2"/>
          <w:sz w:val="22"/>
          <w:szCs w:val="22"/>
        </w:rPr>
        <w:t>being assumed</w:t>
      </w:r>
      <w:proofErr w:type="gramEnd"/>
      <w:r w:rsidRPr="005A4A7A">
        <w:rPr>
          <w:rFonts w:ascii="Arial" w:hAnsi="Arial" w:cs="Arial"/>
          <w:spacing w:val="-2"/>
          <w:sz w:val="22"/>
          <w:szCs w:val="22"/>
        </w:rPr>
        <w:t xml:space="preserve"> by </w:t>
      </w:r>
      <w:r w:rsidR="001E3B99" w:rsidRPr="005A4A7A">
        <w:rPr>
          <w:rFonts w:ascii="Arial" w:hAnsi="Arial" w:cs="Arial"/>
          <w:spacing w:val="-2"/>
          <w:sz w:val="22"/>
          <w:szCs w:val="22"/>
        </w:rPr>
        <w:t xml:space="preserve">the </w:t>
      </w:r>
      <w:r w:rsidRPr="005A4A7A">
        <w:rPr>
          <w:rFonts w:ascii="Arial" w:hAnsi="Arial" w:cs="Arial"/>
          <w:spacing w:val="-2"/>
          <w:sz w:val="22"/>
          <w:szCs w:val="22"/>
        </w:rPr>
        <w:t>buyer.</w:t>
      </w:r>
      <w:r w:rsidR="00163FE1" w:rsidRPr="005A4A7A">
        <w:rPr>
          <w:rFonts w:ascii="Arial" w:hAnsi="Arial" w:cs="Arial"/>
          <w:spacing w:val="-2"/>
          <w:sz w:val="22"/>
          <w:szCs w:val="22"/>
        </w:rPr>
        <w:t xml:space="preserve"> </w:t>
      </w:r>
      <w:r w:rsidRPr="005A4A7A">
        <w:rPr>
          <w:rFonts w:ascii="Arial" w:hAnsi="Arial" w:cs="Arial"/>
          <w:spacing w:val="-2"/>
          <w:sz w:val="22"/>
          <w:szCs w:val="22"/>
        </w:rPr>
        <w:t xml:space="preserve">The contract should also </w:t>
      </w:r>
      <w:proofErr w:type="gramStart"/>
      <w:r w:rsidRPr="005A4A7A">
        <w:rPr>
          <w:rFonts w:ascii="Arial" w:hAnsi="Arial" w:cs="Arial"/>
          <w:spacing w:val="-2"/>
          <w:sz w:val="22"/>
          <w:szCs w:val="22"/>
        </w:rPr>
        <w:t>contain</w:t>
      </w:r>
      <w:proofErr w:type="gramEnd"/>
      <w:r w:rsidRPr="005A4A7A">
        <w:rPr>
          <w:rFonts w:ascii="Arial" w:hAnsi="Arial" w:cs="Arial"/>
          <w:spacing w:val="-2"/>
          <w:sz w:val="22"/>
          <w:szCs w:val="22"/>
        </w:rPr>
        <w:t xml:space="preserve"> an indemnification provision protecting the buyer from obligations of the seller not </w:t>
      </w:r>
      <w:proofErr w:type="gramStart"/>
      <w:r w:rsidRPr="005A4A7A">
        <w:rPr>
          <w:rFonts w:ascii="Arial" w:hAnsi="Arial" w:cs="Arial"/>
          <w:spacing w:val="-2"/>
          <w:sz w:val="22"/>
          <w:szCs w:val="22"/>
        </w:rPr>
        <w:t>being assumed</w:t>
      </w:r>
      <w:proofErr w:type="gramEnd"/>
      <w:r w:rsidRPr="005A4A7A">
        <w:rPr>
          <w:rFonts w:ascii="Arial" w:hAnsi="Arial" w:cs="Arial"/>
          <w:spacing w:val="-2"/>
          <w:sz w:val="22"/>
          <w:szCs w:val="22"/>
        </w:rPr>
        <w:t>.</w:t>
      </w:r>
      <w:r w:rsidR="00163FE1" w:rsidRPr="005A4A7A">
        <w:rPr>
          <w:rFonts w:ascii="Arial" w:hAnsi="Arial" w:cs="Arial"/>
          <w:spacing w:val="-2"/>
          <w:sz w:val="22"/>
          <w:szCs w:val="22"/>
        </w:rPr>
        <w:t xml:space="preserve"> </w:t>
      </w:r>
      <w:r w:rsidR="00705899" w:rsidRPr="005A4A7A">
        <w:rPr>
          <w:rFonts w:ascii="Arial" w:hAnsi="Arial" w:cs="Arial"/>
          <w:spacing w:val="-2"/>
          <w:sz w:val="22"/>
          <w:szCs w:val="22"/>
        </w:rPr>
        <w:t xml:space="preserve">Indemnification provisions </w:t>
      </w:r>
      <w:proofErr w:type="gramStart"/>
      <w:r w:rsidR="00705899" w:rsidRPr="005A4A7A">
        <w:rPr>
          <w:rFonts w:ascii="Arial" w:hAnsi="Arial" w:cs="Arial"/>
          <w:spacing w:val="-2"/>
          <w:sz w:val="22"/>
          <w:szCs w:val="22"/>
        </w:rPr>
        <w:t>are often highly negotiated</w:t>
      </w:r>
      <w:proofErr w:type="gramEnd"/>
      <w:r w:rsidR="00705899" w:rsidRPr="005A4A7A">
        <w:rPr>
          <w:rFonts w:ascii="Arial" w:hAnsi="Arial" w:cs="Arial"/>
          <w:spacing w:val="-2"/>
          <w:sz w:val="22"/>
          <w:szCs w:val="22"/>
        </w:rPr>
        <w:t xml:space="preserve"> and include differen</w:t>
      </w:r>
      <w:r w:rsidR="001E3B99" w:rsidRPr="005A4A7A">
        <w:rPr>
          <w:rFonts w:ascii="Arial" w:hAnsi="Arial" w:cs="Arial"/>
          <w:spacing w:val="-2"/>
          <w:sz w:val="22"/>
          <w:szCs w:val="22"/>
        </w:rPr>
        <w:t>t caps (</w:t>
      </w:r>
      <w:proofErr w:type="gramStart"/>
      <w:r w:rsidR="001E3B99" w:rsidRPr="005A4A7A">
        <w:rPr>
          <w:rFonts w:ascii="Arial" w:hAnsi="Arial" w:cs="Arial"/>
          <w:spacing w:val="-2"/>
          <w:sz w:val="22"/>
          <w:szCs w:val="22"/>
        </w:rPr>
        <w:t>maximum</w:t>
      </w:r>
      <w:proofErr w:type="gramEnd"/>
      <w:r w:rsidR="001E3B99" w:rsidRPr="005A4A7A">
        <w:rPr>
          <w:rFonts w:ascii="Arial" w:hAnsi="Arial" w:cs="Arial"/>
          <w:spacing w:val="-2"/>
          <w:sz w:val="22"/>
          <w:szCs w:val="22"/>
        </w:rPr>
        <w:t xml:space="preserve"> dollar limits), </w:t>
      </w:r>
      <w:r w:rsidR="00705899" w:rsidRPr="005A4A7A">
        <w:rPr>
          <w:rFonts w:ascii="Arial" w:hAnsi="Arial" w:cs="Arial"/>
          <w:spacing w:val="-2"/>
          <w:sz w:val="22"/>
          <w:szCs w:val="22"/>
        </w:rPr>
        <w:t xml:space="preserve">baskets (deductibles to </w:t>
      </w:r>
      <w:proofErr w:type="gramStart"/>
      <w:r w:rsidR="00705899" w:rsidRPr="005A4A7A">
        <w:rPr>
          <w:rFonts w:ascii="Arial" w:hAnsi="Arial" w:cs="Arial"/>
          <w:spacing w:val="-2"/>
          <w:sz w:val="22"/>
          <w:szCs w:val="22"/>
        </w:rPr>
        <w:t>be reached</w:t>
      </w:r>
      <w:proofErr w:type="gramEnd"/>
      <w:r w:rsidR="00705899" w:rsidRPr="005A4A7A">
        <w:rPr>
          <w:rFonts w:ascii="Arial" w:hAnsi="Arial" w:cs="Arial"/>
          <w:spacing w:val="-2"/>
          <w:sz w:val="22"/>
          <w:szCs w:val="22"/>
        </w:rPr>
        <w:t xml:space="preserve"> before indemn</w:t>
      </w:r>
      <w:r w:rsidR="001E3B99" w:rsidRPr="005A4A7A">
        <w:rPr>
          <w:rFonts w:ascii="Arial" w:hAnsi="Arial" w:cs="Arial"/>
          <w:spacing w:val="-2"/>
          <w:sz w:val="22"/>
          <w:szCs w:val="22"/>
        </w:rPr>
        <w:t xml:space="preserve">ification liability </w:t>
      </w:r>
      <w:proofErr w:type="gramStart"/>
      <w:r w:rsidR="001E3B99" w:rsidRPr="005A4A7A">
        <w:rPr>
          <w:rFonts w:ascii="Arial" w:hAnsi="Arial" w:cs="Arial"/>
          <w:spacing w:val="-2"/>
          <w:sz w:val="22"/>
          <w:szCs w:val="22"/>
        </w:rPr>
        <w:t>commences</w:t>
      </w:r>
      <w:proofErr w:type="gramEnd"/>
      <w:r w:rsidR="001E3B99" w:rsidRPr="005A4A7A">
        <w:rPr>
          <w:rFonts w:ascii="Arial" w:hAnsi="Arial" w:cs="Arial"/>
          <w:spacing w:val="-2"/>
          <w:sz w:val="22"/>
          <w:szCs w:val="22"/>
        </w:rPr>
        <w:t xml:space="preserve">), </w:t>
      </w:r>
      <w:r w:rsidR="00705899" w:rsidRPr="005A4A7A">
        <w:rPr>
          <w:rFonts w:ascii="Arial" w:hAnsi="Arial" w:cs="Arial"/>
          <w:spacing w:val="-2"/>
          <w:sz w:val="22"/>
          <w:szCs w:val="22"/>
        </w:rPr>
        <w:t>and survival period.</w:t>
      </w:r>
      <w:r w:rsidR="00163FE1" w:rsidRPr="005A4A7A">
        <w:rPr>
          <w:rFonts w:ascii="Arial" w:hAnsi="Arial" w:cs="Arial"/>
          <w:spacing w:val="-2"/>
          <w:sz w:val="22"/>
          <w:szCs w:val="22"/>
        </w:rPr>
        <w:t xml:space="preserve"> </w:t>
      </w:r>
    </w:p>
    <w:p w14:paraId="3E1DAF57" w14:textId="7F1A6B56" w:rsidR="00ED6A8D" w:rsidRPr="005A4A7A" w:rsidRDefault="00ED6A8D" w:rsidP="007F599D">
      <w:pPr>
        <w:numPr>
          <w:ilvl w:val="0"/>
          <w:numId w:val="10"/>
        </w:numPr>
        <w:tabs>
          <w:tab w:val="left" w:pos="-720"/>
          <w:tab w:val="left" w:pos="0"/>
        </w:tabs>
        <w:suppressAutoHyphens/>
        <w:spacing w:after="120" w:line="240" w:lineRule="exact"/>
        <w:ind w:left="360"/>
        <w:rPr>
          <w:rFonts w:ascii="Arial" w:hAnsi="Arial" w:cs="Arial"/>
          <w:spacing w:val="-2"/>
          <w:sz w:val="22"/>
          <w:szCs w:val="22"/>
        </w:rPr>
      </w:pPr>
      <w:r w:rsidRPr="005A4A7A">
        <w:rPr>
          <w:rFonts w:ascii="Arial" w:hAnsi="Arial" w:cs="Arial"/>
          <w:spacing w:val="-2"/>
          <w:sz w:val="22"/>
          <w:szCs w:val="22"/>
        </w:rPr>
        <w:t>In seller-financed transactions, if you represent the seller, be sure the buyer</w:t>
      </w:r>
      <w:r w:rsidR="00163FE1" w:rsidRPr="005A4A7A">
        <w:rPr>
          <w:rFonts w:ascii="Arial" w:hAnsi="Arial" w:cs="Arial"/>
          <w:spacing w:val="-2"/>
          <w:sz w:val="22"/>
          <w:szCs w:val="22"/>
        </w:rPr>
        <w:t>’</w:t>
      </w:r>
      <w:r w:rsidRPr="005A4A7A">
        <w:rPr>
          <w:rFonts w:ascii="Arial" w:hAnsi="Arial" w:cs="Arial"/>
          <w:spacing w:val="-2"/>
          <w:sz w:val="22"/>
          <w:szCs w:val="22"/>
        </w:rPr>
        <w:t>s ongoing covenants which protect the value of the security (such as limitations on borrowing or minimum debt/equity ratios) have built-in monitoring/enforcement mechanisms, such as requiring the buyer to provide the seller with quarterly financials and allowing seller access to buyer</w:t>
      </w:r>
      <w:r w:rsidR="00163FE1" w:rsidRPr="005A4A7A">
        <w:rPr>
          <w:rFonts w:ascii="Arial" w:hAnsi="Arial" w:cs="Arial"/>
          <w:spacing w:val="-2"/>
          <w:sz w:val="22"/>
          <w:szCs w:val="22"/>
        </w:rPr>
        <w:t>’</w:t>
      </w:r>
      <w:r w:rsidRPr="005A4A7A">
        <w:rPr>
          <w:rFonts w:ascii="Arial" w:hAnsi="Arial" w:cs="Arial"/>
          <w:spacing w:val="-2"/>
          <w:sz w:val="22"/>
          <w:szCs w:val="22"/>
        </w:rPr>
        <w:t>s books.</w:t>
      </w:r>
    </w:p>
    <w:p w14:paraId="793DF67C" w14:textId="54D1CB97" w:rsidR="00ED6A8D" w:rsidRPr="005A4A7A" w:rsidRDefault="00ED6A8D" w:rsidP="007F599D">
      <w:pPr>
        <w:numPr>
          <w:ilvl w:val="0"/>
          <w:numId w:val="10"/>
        </w:numPr>
        <w:tabs>
          <w:tab w:val="left" w:pos="-720"/>
          <w:tab w:val="left" w:pos="0"/>
        </w:tabs>
        <w:suppressAutoHyphens/>
        <w:spacing w:after="120" w:line="240" w:lineRule="exact"/>
        <w:ind w:left="360"/>
        <w:rPr>
          <w:rFonts w:ascii="Arial" w:hAnsi="Arial" w:cs="Arial"/>
          <w:spacing w:val="-2"/>
          <w:sz w:val="22"/>
          <w:szCs w:val="22"/>
        </w:rPr>
      </w:pPr>
      <w:r w:rsidRPr="005A4A7A">
        <w:rPr>
          <w:rFonts w:ascii="Arial" w:hAnsi="Arial" w:cs="Arial"/>
          <w:spacing w:val="-2"/>
          <w:sz w:val="22"/>
          <w:szCs w:val="22"/>
        </w:rPr>
        <w:t>Check, and double check, all documents for consistency, signatures, and dates.</w:t>
      </w:r>
    </w:p>
    <w:p w14:paraId="115B01B0" w14:textId="2E4C351C" w:rsidR="001E3B99" w:rsidRPr="005A4A7A" w:rsidRDefault="001E3B99" w:rsidP="001E3B99">
      <w:pPr>
        <w:tabs>
          <w:tab w:val="left" w:pos="-720"/>
          <w:tab w:val="left" w:pos="0"/>
        </w:tabs>
        <w:suppressAutoHyphens/>
        <w:spacing w:after="120" w:line="240" w:lineRule="exact"/>
        <w:ind w:left="720"/>
        <w:rPr>
          <w:rFonts w:ascii="Arial" w:hAnsi="Arial" w:cs="Arial"/>
          <w:spacing w:val="-2"/>
          <w:sz w:val="22"/>
          <w:szCs w:val="22"/>
        </w:rPr>
      </w:pPr>
    </w:p>
    <w:p w14:paraId="7EF994A3" w14:textId="77777777" w:rsidR="00597C74" w:rsidRDefault="00597C74" w:rsidP="003F350E">
      <w:pPr>
        <w:spacing w:after="120"/>
        <w:jc w:val="center"/>
        <w:rPr>
          <w:rFonts w:ascii="Arial" w:hAnsi="Arial" w:cs="Arial"/>
          <w:b/>
          <w:sz w:val="22"/>
          <w:szCs w:val="22"/>
        </w:rPr>
      </w:pPr>
    </w:p>
    <w:p w14:paraId="65F7495F" w14:textId="77777777" w:rsidR="00597C74" w:rsidRDefault="00597C74" w:rsidP="003F350E">
      <w:pPr>
        <w:spacing w:after="120"/>
        <w:jc w:val="center"/>
        <w:rPr>
          <w:rFonts w:ascii="Arial" w:hAnsi="Arial" w:cs="Arial"/>
          <w:b/>
          <w:sz w:val="22"/>
          <w:szCs w:val="22"/>
        </w:rPr>
      </w:pPr>
    </w:p>
    <w:p w14:paraId="1F47034A" w14:textId="47C83071" w:rsidR="00F03F05" w:rsidRPr="005A4A7A" w:rsidRDefault="00F03F05" w:rsidP="003F350E">
      <w:pPr>
        <w:spacing w:after="120"/>
        <w:jc w:val="center"/>
        <w:rPr>
          <w:rFonts w:ascii="Arial" w:hAnsi="Arial" w:cs="Arial"/>
          <w:b/>
          <w:sz w:val="22"/>
          <w:szCs w:val="22"/>
        </w:rPr>
      </w:pPr>
      <w:r w:rsidRPr="005A4A7A">
        <w:rPr>
          <w:rFonts w:ascii="Arial" w:hAnsi="Arial" w:cs="Arial"/>
          <w:b/>
          <w:sz w:val="22"/>
          <w:szCs w:val="22"/>
        </w:rPr>
        <w:lastRenderedPageBreak/>
        <w:t>IMPORTANT NOTICES</w:t>
      </w:r>
    </w:p>
    <w:p w14:paraId="2CDAD2F8" w14:textId="62DA0C96" w:rsidR="00F03F05" w:rsidRPr="005A4A7A" w:rsidRDefault="00F03F05" w:rsidP="007F599D">
      <w:pPr>
        <w:spacing w:after="120"/>
        <w:jc w:val="both"/>
        <w:rPr>
          <w:rFonts w:ascii="Arial" w:hAnsi="Arial" w:cs="Arial"/>
          <w:sz w:val="22"/>
          <w:szCs w:val="22"/>
        </w:rPr>
      </w:pPr>
      <w:r w:rsidRPr="005A4A7A">
        <w:rPr>
          <w:rFonts w:ascii="Arial" w:hAnsi="Arial" w:cs="Arial"/>
          <w:sz w:val="22"/>
          <w:szCs w:val="22"/>
        </w:rPr>
        <w:t xml:space="preserve">This material </w:t>
      </w:r>
      <w:proofErr w:type="gramStart"/>
      <w:r w:rsidRPr="005A4A7A">
        <w:rPr>
          <w:rFonts w:ascii="Arial" w:hAnsi="Arial" w:cs="Arial"/>
          <w:sz w:val="22"/>
          <w:szCs w:val="22"/>
        </w:rPr>
        <w:t>is provided</w:t>
      </w:r>
      <w:proofErr w:type="gramEnd"/>
      <w:r w:rsidRPr="005A4A7A">
        <w:rPr>
          <w:rFonts w:ascii="Arial" w:hAnsi="Arial" w:cs="Arial"/>
          <w:sz w:val="22"/>
          <w:szCs w:val="22"/>
        </w:rPr>
        <w:t xml:space="preserve"> for informational purposes only and does not </w:t>
      </w:r>
      <w:proofErr w:type="gramStart"/>
      <w:r w:rsidRPr="005A4A7A">
        <w:rPr>
          <w:rFonts w:ascii="Arial" w:hAnsi="Arial" w:cs="Arial"/>
          <w:sz w:val="22"/>
          <w:szCs w:val="22"/>
        </w:rPr>
        <w:t>establish</w:t>
      </w:r>
      <w:proofErr w:type="gramEnd"/>
      <w:r w:rsidRPr="005A4A7A">
        <w:rPr>
          <w:rFonts w:ascii="Arial" w:hAnsi="Arial" w:cs="Arial"/>
          <w:sz w:val="22"/>
          <w:szCs w:val="22"/>
        </w:rPr>
        <w:t xml:space="preserve">, report, or create the standard of care for attorneys in Oregon, nor does it represent a complete analysis of the topics presented. Readers should conduct their own </w:t>
      </w:r>
      <w:proofErr w:type="gramStart"/>
      <w:r w:rsidRPr="005A4A7A">
        <w:rPr>
          <w:rFonts w:ascii="Arial" w:hAnsi="Arial" w:cs="Arial"/>
          <w:sz w:val="22"/>
          <w:szCs w:val="22"/>
        </w:rPr>
        <w:t>appropriate legal</w:t>
      </w:r>
      <w:proofErr w:type="gramEnd"/>
      <w:r w:rsidRPr="005A4A7A">
        <w:rPr>
          <w:rFonts w:ascii="Arial" w:hAnsi="Arial" w:cs="Arial"/>
          <w:sz w:val="22"/>
          <w:szCs w:val="22"/>
        </w:rPr>
        <w:t xml:space="preserve"> research. The information presented does not </w:t>
      </w:r>
      <w:proofErr w:type="gramStart"/>
      <w:r w:rsidRPr="005A4A7A">
        <w:rPr>
          <w:rFonts w:ascii="Arial" w:hAnsi="Arial" w:cs="Arial"/>
          <w:sz w:val="22"/>
          <w:szCs w:val="22"/>
        </w:rPr>
        <w:t>represent</w:t>
      </w:r>
      <w:proofErr w:type="gramEnd"/>
      <w:r w:rsidRPr="005A4A7A">
        <w:rPr>
          <w:rFonts w:ascii="Arial" w:hAnsi="Arial" w:cs="Arial"/>
          <w:sz w:val="22"/>
          <w:szCs w:val="22"/>
        </w:rPr>
        <w:t xml:space="preserve"> legal advice.</w:t>
      </w:r>
      <w:r w:rsidR="00163FE1" w:rsidRPr="005A4A7A">
        <w:rPr>
          <w:rFonts w:ascii="Arial" w:hAnsi="Arial" w:cs="Arial"/>
          <w:sz w:val="22"/>
          <w:szCs w:val="22"/>
        </w:rPr>
        <w:t xml:space="preserve"> </w:t>
      </w:r>
      <w:r w:rsidRPr="005A4A7A">
        <w:rPr>
          <w:rFonts w:ascii="Arial" w:hAnsi="Arial" w:cs="Arial"/>
          <w:sz w:val="22"/>
          <w:szCs w:val="22"/>
        </w:rPr>
        <w:t xml:space="preserve">This information may not </w:t>
      </w:r>
      <w:proofErr w:type="gramStart"/>
      <w:r w:rsidRPr="005A4A7A">
        <w:rPr>
          <w:rFonts w:ascii="Arial" w:hAnsi="Arial" w:cs="Arial"/>
          <w:sz w:val="22"/>
          <w:szCs w:val="22"/>
        </w:rPr>
        <w:t>be republished</w:t>
      </w:r>
      <w:proofErr w:type="gramEnd"/>
      <w:r w:rsidRPr="005A4A7A">
        <w:rPr>
          <w:rFonts w:ascii="Arial" w:hAnsi="Arial" w:cs="Arial"/>
          <w:sz w:val="22"/>
          <w:szCs w:val="22"/>
        </w:rPr>
        <w:t xml:space="preserve">, sold, or used in any other form without the written consent of the Oregon State Bar Professional Liability Fund except that permission </w:t>
      </w:r>
      <w:proofErr w:type="gramStart"/>
      <w:r w:rsidRPr="005A4A7A">
        <w:rPr>
          <w:rFonts w:ascii="Arial" w:hAnsi="Arial" w:cs="Arial"/>
          <w:sz w:val="22"/>
          <w:szCs w:val="22"/>
        </w:rPr>
        <w:t>is granted</w:t>
      </w:r>
      <w:proofErr w:type="gramEnd"/>
      <w:r w:rsidRPr="005A4A7A">
        <w:rPr>
          <w:rFonts w:ascii="Arial" w:hAnsi="Arial" w:cs="Arial"/>
          <w:sz w:val="22"/>
          <w:szCs w:val="22"/>
        </w:rPr>
        <w:t xml:space="preserve"> for Oregon lawyers to use and </w:t>
      </w:r>
      <w:proofErr w:type="gramStart"/>
      <w:r w:rsidRPr="005A4A7A">
        <w:rPr>
          <w:rFonts w:ascii="Arial" w:hAnsi="Arial" w:cs="Arial"/>
          <w:sz w:val="22"/>
          <w:szCs w:val="22"/>
        </w:rPr>
        <w:t>modify</w:t>
      </w:r>
      <w:proofErr w:type="gramEnd"/>
      <w:r w:rsidRPr="005A4A7A">
        <w:rPr>
          <w:rFonts w:ascii="Arial" w:hAnsi="Arial" w:cs="Arial"/>
          <w:sz w:val="22"/>
          <w:szCs w:val="22"/>
        </w:rPr>
        <w:t xml:space="preserve"> these materials for use in their own practices.</w:t>
      </w:r>
      <w:r w:rsidR="00163FE1" w:rsidRPr="005A4A7A">
        <w:rPr>
          <w:rFonts w:ascii="Arial" w:hAnsi="Arial" w:cs="Arial"/>
          <w:sz w:val="22"/>
          <w:szCs w:val="22"/>
        </w:rPr>
        <w:t xml:space="preserve"> </w:t>
      </w:r>
      <w:r w:rsidRPr="005A4A7A">
        <w:rPr>
          <w:rFonts w:ascii="Arial" w:hAnsi="Arial" w:cs="Arial"/>
          <w:sz w:val="22"/>
          <w:szCs w:val="22"/>
        </w:rPr>
        <w:t xml:space="preserve">© </w:t>
      </w:r>
      <w:r w:rsidR="003005E4" w:rsidRPr="005A4A7A">
        <w:rPr>
          <w:rFonts w:ascii="Arial" w:hAnsi="Arial" w:cs="Arial"/>
          <w:sz w:val="22"/>
          <w:szCs w:val="22"/>
        </w:rPr>
        <w:t>202</w:t>
      </w:r>
      <w:r w:rsidR="007F5C6A">
        <w:rPr>
          <w:rFonts w:ascii="Arial" w:hAnsi="Arial" w:cs="Arial"/>
          <w:sz w:val="22"/>
          <w:szCs w:val="22"/>
        </w:rPr>
        <w:t>5</w:t>
      </w:r>
      <w:r w:rsidRPr="005A4A7A">
        <w:rPr>
          <w:rFonts w:ascii="Arial" w:hAnsi="Arial" w:cs="Arial"/>
          <w:sz w:val="22"/>
          <w:szCs w:val="22"/>
        </w:rPr>
        <w:t xml:space="preserve"> </w:t>
      </w:r>
      <w:r w:rsidR="001E3B99" w:rsidRPr="005A4A7A">
        <w:rPr>
          <w:rFonts w:ascii="Arial" w:hAnsi="Arial" w:cs="Arial"/>
          <w:sz w:val="22"/>
          <w:szCs w:val="22"/>
        </w:rPr>
        <w:t>OSB Professional Liability Fund</w:t>
      </w:r>
    </w:p>
    <w:sectPr w:rsidR="00F03F05" w:rsidRPr="005A4A7A" w:rsidSect="007F599D">
      <w:headerReference w:type="default" r:id="rId7"/>
      <w:footerReference w:type="default" r:id="rId8"/>
      <w:type w:val="continuous"/>
      <w:pgSz w:w="12240" w:h="15840"/>
      <w:pgMar w:top="1440" w:right="1440" w:bottom="1440" w:left="1440" w:header="726"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95B53" w14:textId="77777777" w:rsidR="0070774A" w:rsidRDefault="0070774A">
      <w:r>
        <w:separator/>
      </w:r>
    </w:p>
  </w:endnote>
  <w:endnote w:type="continuationSeparator" w:id="0">
    <w:p w14:paraId="3F4883F6" w14:textId="77777777" w:rsidR="0070774A" w:rsidRDefault="00707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E8F9" w14:textId="77777777" w:rsidR="00667755" w:rsidRDefault="00667755" w:rsidP="0018091D">
    <w:pPr>
      <w:pStyle w:val="Footer"/>
      <w:tabs>
        <w:tab w:val="clear" w:pos="4320"/>
        <w:tab w:val="clear" w:pos="8640"/>
        <w:tab w:val="right" w:pos="3510"/>
        <w:tab w:val="right" w:pos="9360"/>
      </w:tabs>
      <w:rPr>
        <w:rFonts w:ascii="Arial" w:hAnsi="Arial"/>
        <w:noProof/>
        <w:sz w:val="16"/>
      </w:rPr>
    </w:pPr>
  </w:p>
  <w:p w14:paraId="22F99886" w14:textId="7AF77B14" w:rsidR="00DA1D45" w:rsidRPr="0018091D" w:rsidRDefault="0018091D" w:rsidP="0018091D">
    <w:pPr>
      <w:pStyle w:val="Footer"/>
      <w:tabs>
        <w:tab w:val="clear" w:pos="4320"/>
        <w:tab w:val="clear" w:pos="8640"/>
        <w:tab w:val="right" w:pos="3510"/>
        <w:tab w:val="right" w:pos="9360"/>
      </w:tabs>
      <w:rPr>
        <w:rFonts w:ascii="Arial" w:hAnsi="Arial"/>
        <w:sz w:val="16"/>
      </w:rPr>
    </w:pPr>
    <w:r>
      <w:rPr>
        <w:rFonts w:ascii="Arial" w:hAnsi="Arial"/>
        <w:noProof/>
        <w:sz w:val="16"/>
      </w:rPr>
      <w:t xml:space="preserve">PROFESSIONAL LIABILITY FUND </w:t>
    </w:r>
    <w:r w:rsidR="00F03F05">
      <w:rPr>
        <w:rFonts w:ascii="Arial" w:hAnsi="Arial"/>
        <w:noProof/>
        <w:sz w:val="16"/>
      </w:rPr>
      <w:t>[Rev</w:t>
    </w:r>
    <w:r w:rsidR="00BA6BBE">
      <w:rPr>
        <w:rFonts w:ascii="Arial" w:hAnsi="Arial"/>
        <w:noProof/>
        <w:sz w:val="16"/>
      </w:rPr>
      <w:t xml:space="preserve">. </w:t>
    </w:r>
    <w:r w:rsidR="00667755">
      <w:rPr>
        <w:rFonts w:ascii="Arial" w:hAnsi="Arial"/>
        <w:noProof/>
        <w:sz w:val="16"/>
      </w:rPr>
      <w:t>1</w:t>
    </w:r>
    <w:r w:rsidR="00DF5AD3">
      <w:rPr>
        <w:rFonts w:ascii="Arial" w:hAnsi="Arial"/>
        <w:noProof/>
        <w:sz w:val="16"/>
      </w:rPr>
      <w:t>0</w:t>
    </w:r>
    <w:r w:rsidR="003776C3">
      <w:rPr>
        <w:rFonts w:ascii="Arial" w:hAnsi="Arial"/>
        <w:noProof/>
        <w:sz w:val="16"/>
      </w:rPr>
      <w:t>/202</w:t>
    </w:r>
    <w:r w:rsidR="00667755">
      <w:rPr>
        <w:rFonts w:ascii="Arial" w:hAnsi="Arial"/>
        <w:noProof/>
        <w:sz w:val="16"/>
      </w:rPr>
      <w:t>5</w:t>
    </w:r>
    <w:r w:rsidR="00F03F05">
      <w:rPr>
        <w:rFonts w:ascii="Arial" w:hAnsi="Arial"/>
        <w:noProof/>
        <w:sz w:val="16"/>
      </w:rPr>
      <w:t>]</w:t>
    </w:r>
    <w:r>
      <w:rPr>
        <w:rFonts w:ascii="Arial" w:hAnsi="Arial"/>
        <w:sz w:val="12"/>
      </w:rPr>
      <w:tab/>
      <w:t xml:space="preserve"> </w:t>
    </w:r>
    <w:r>
      <w:rPr>
        <w:rStyle w:val="PageNumber"/>
        <w:rFonts w:ascii="Arial" w:hAnsi="Arial"/>
        <w:sz w:val="16"/>
      </w:rPr>
      <w:t xml:space="preserve">Checklist for Sale or Acquisition of a Small Business – Page </w:t>
    </w:r>
    <w:r>
      <w:rPr>
        <w:rStyle w:val="PageNumber"/>
        <w:rFonts w:ascii="Arial" w:hAnsi="Arial"/>
        <w:sz w:val="16"/>
      </w:rPr>
      <w:fldChar w:fldCharType="begin"/>
    </w:r>
    <w:r>
      <w:rPr>
        <w:rStyle w:val="PageNumber"/>
        <w:rFonts w:ascii="Arial" w:hAnsi="Arial"/>
        <w:sz w:val="16"/>
      </w:rPr>
      <w:instrText xml:space="preserve"> PAGE  \* Arabic  \* MERGEFORMAT </w:instrText>
    </w:r>
    <w:r>
      <w:rPr>
        <w:rStyle w:val="PageNumber"/>
        <w:rFonts w:ascii="Arial" w:hAnsi="Arial"/>
        <w:sz w:val="16"/>
      </w:rPr>
      <w:fldChar w:fldCharType="separate"/>
    </w:r>
    <w:r w:rsidR="005B2731">
      <w:rPr>
        <w:rStyle w:val="PageNumber"/>
        <w:rFonts w:ascii="Arial" w:hAnsi="Arial"/>
        <w:noProof/>
        <w:sz w:val="16"/>
      </w:rPr>
      <w:t>1</w:t>
    </w:r>
    <w:r>
      <w:rPr>
        <w:rStyle w:val="PageNumbe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2BC80" w14:textId="77777777" w:rsidR="0070774A" w:rsidRDefault="0070774A">
      <w:pPr>
        <w:rPr>
          <w:noProof/>
        </w:rPr>
      </w:pPr>
      <w:r>
        <w:rPr>
          <w:noProof/>
        </w:rPr>
        <w:separator/>
      </w:r>
    </w:p>
  </w:footnote>
  <w:footnote w:type="continuationSeparator" w:id="0">
    <w:p w14:paraId="26F82F76" w14:textId="77777777" w:rsidR="0070774A" w:rsidRDefault="0070774A">
      <w:r>
        <w:continuationSeparator/>
      </w:r>
    </w:p>
  </w:footnote>
  <w:footnote w:id="1">
    <w:p w14:paraId="05403911" w14:textId="0EED516F" w:rsidR="00993E8A" w:rsidRPr="00CD66D1" w:rsidRDefault="00993E8A">
      <w:pPr>
        <w:pStyle w:val="FootnoteText"/>
        <w:rPr>
          <w:rFonts w:ascii="Arial" w:hAnsi="Arial" w:cs="Arial"/>
        </w:rPr>
      </w:pPr>
      <w:r w:rsidRPr="00CD66D1">
        <w:rPr>
          <w:rStyle w:val="FootnoteReference"/>
          <w:rFonts w:ascii="Arial" w:hAnsi="Arial" w:cs="Arial"/>
        </w:rPr>
        <w:footnoteRef/>
      </w:r>
      <w:r w:rsidRPr="00CD66D1">
        <w:rPr>
          <w:rFonts w:ascii="Arial" w:hAnsi="Arial" w:cs="Arial"/>
        </w:rPr>
        <w:t xml:space="preserve"> If the client allows anyone outside of the legal team to access filings or recordings, the legal protections of ORPC 4.4(b) may not be available. Formal Opinion 2011-186 states, “Oregon RPC 4.4(b) does not require Lawyer to take or refrain from taking any particular actions with respect to documents that were sent purposely, albeit without authority.”</w:t>
      </w:r>
    </w:p>
  </w:footnote>
  <w:footnote w:id="2">
    <w:p w14:paraId="74552E92" w14:textId="71CF4547" w:rsidR="00993E8A" w:rsidRPr="00CD66D1" w:rsidRDefault="00993E8A">
      <w:pPr>
        <w:pStyle w:val="FootnoteText"/>
        <w:rPr>
          <w:rFonts w:ascii="Arial" w:hAnsi="Arial" w:cs="Arial"/>
        </w:rPr>
      </w:pPr>
      <w:r w:rsidRPr="00CD66D1">
        <w:rPr>
          <w:rStyle w:val="FootnoteReference"/>
          <w:rFonts w:ascii="Arial" w:hAnsi="Arial" w:cs="Arial"/>
        </w:rPr>
        <w:footnoteRef/>
      </w:r>
      <w:r w:rsidRPr="00CD66D1">
        <w:rPr>
          <w:rFonts w:ascii="Arial" w:hAnsi="Arial" w:cs="Arial"/>
        </w:rPr>
        <w:t xml:space="preserve"> </w:t>
      </w:r>
      <w:r w:rsidR="003640DC" w:rsidRPr="003640DC">
        <w:rPr>
          <w:rFonts w:ascii="Arial" w:hAnsi="Arial" w:cs="Arial"/>
          <w:i/>
          <w:iCs/>
        </w:rPr>
        <w:t>See e.g.</w:t>
      </w:r>
      <w:r w:rsidR="003640DC">
        <w:rPr>
          <w:rFonts w:ascii="Arial" w:hAnsi="Arial" w:cs="Arial"/>
        </w:rPr>
        <w:t xml:space="preserve">, </w:t>
      </w:r>
      <w:r w:rsidRPr="00CD66D1">
        <w:rPr>
          <w:rFonts w:ascii="Arial" w:hAnsi="Arial" w:cs="Arial"/>
        </w:rPr>
        <w:t xml:space="preserve">Or. Evid. Code 511 </w:t>
      </w:r>
      <w:r w:rsidR="003640DC">
        <w:rPr>
          <w:rFonts w:ascii="Arial" w:hAnsi="Arial" w:cs="Arial"/>
        </w:rPr>
        <w:t>providing</w:t>
      </w:r>
      <w:r w:rsidRPr="00CD66D1">
        <w:rPr>
          <w:rFonts w:ascii="Arial" w:hAnsi="Arial" w:cs="Arial"/>
        </w:rPr>
        <w:t xml:space="preserve"> that </w:t>
      </w:r>
      <w:r w:rsidR="00F970FF">
        <w:rPr>
          <w:rFonts w:ascii="Arial" w:hAnsi="Arial" w:cs="Arial"/>
        </w:rPr>
        <w:t>“</w:t>
      </w:r>
      <w:r w:rsidRPr="00CD66D1">
        <w:rPr>
          <w:rFonts w:ascii="Arial" w:hAnsi="Arial" w:cs="Arial"/>
        </w:rPr>
        <w:t xml:space="preserve">a client waives the attorney-client privilege by voluntarily </w:t>
      </w:r>
      <w:proofErr w:type="gramStart"/>
      <w:r w:rsidRPr="00CD66D1">
        <w:rPr>
          <w:rFonts w:ascii="Arial" w:hAnsi="Arial" w:cs="Arial"/>
        </w:rPr>
        <w:t>disclosing</w:t>
      </w:r>
      <w:proofErr w:type="gramEnd"/>
      <w:r w:rsidRPr="00CD66D1">
        <w:rPr>
          <w:rFonts w:ascii="Arial" w:hAnsi="Arial" w:cs="Arial"/>
        </w:rPr>
        <w:t xml:space="preserve"> or consenting to the disclosure of </w:t>
      </w:r>
      <w:r w:rsidR="00F970FF">
        <w:rPr>
          <w:rFonts w:ascii="Arial" w:hAnsi="Arial" w:cs="Arial"/>
        </w:rPr>
        <w:t>‘</w:t>
      </w:r>
      <w:r w:rsidRPr="00CD66D1">
        <w:rPr>
          <w:rFonts w:ascii="Arial" w:hAnsi="Arial" w:cs="Arial"/>
        </w:rPr>
        <w:t>any significant part of the matter or communication.</w:t>
      </w:r>
      <w:r w:rsidR="00F970FF">
        <w:rPr>
          <w:rFonts w:ascii="Arial" w:hAnsi="Arial" w:cs="Arial"/>
        </w:rPr>
        <w:t>’</w:t>
      </w:r>
      <w:r w:rsidRPr="00CD66D1">
        <w:rPr>
          <w:rFonts w:ascii="Arial" w:hAnsi="Arial" w:cs="Arial"/>
        </w:rPr>
        <w:t xml:space="preserve">” </w:t>
      </w:r>
      <w:r w:rsidRPr="00CD66D1">
        <w:rPr>
          <w:rFonts w:ascii="Arial" w:hAnsi="Arial" w:cs="Arial"/>
          <w:u w:val="single"/>
        </w:rPr>
        <w:t>Frease v. Glazer</w:t>
      </w:r>
      <w:r w:rsidRPr="00CD66D1">
        <w:rPr>
          <w:rFonts w:ascii="Arial" w:hAnsi="Arial" w:cs="Arial"/>
        </w:rPr>
        <w:t xml:space="preserve">, 330 Or 364, 366 (2000). The term “voluntarily” </w:t>
      </w:r>
      <w:r w:rsidR="00CD66D1">
        <w:rPr>
          <w:rFonts w:ascii="Arial" w:hAnsi="Arial" w:cs="Arial"/>
        </w:rPr>
        <w:t>includes</w:t>
      </w:r>
      <w:r w:rsidRPr="00CD66D1">
        <w:rPr>
          <w:rFonts w:ascii="Arial" w:hAnsi="Arial" w:cs="Arial"/>
        </w:rPr>
        <w:t xml:space="preserve"> accidentally sending privileged information to counsel for other parties, depending on the context of the situation. If attorney-privilege is determined to have </w:t>
      </w:r>
      <w:proofErr w:type="gramStart"/>
      <w:r w:rsidRPr="00CD66D1">
        <w:rPr>
          <w:rFonts w:ascii="Arial" w:hAnsi="Arial" w:cs="Arial"/>
        </w:rPr>
        <w:t>been waived</w:t>
      </w:r>
      <w:proofErr w:type="gramEnd"/>
      <w:r w:rsidRPr="00CD66D1">
        <w:rPr>
          <w:rFonts w:ascii="Arial" w:hAnsi="Arial" w:cs="Arial"/>
        </w:rPr>
        <w:t xml:space="preserve">, the extent to which is dependent on the document and how much information was </w:t>
      </w:r>
      <w:proofErr w:type="gramStart"/>
      <w:r w:rsidRPr="00CD66D1">
        <w:rPr>
          <w:rFonts w:ascii="Arial" w:hAnsi="Arial" w:cs="Arial"/>
        </w:rPr>
        <w:t>disclosed</w:t>
      </w:r>
      <w:proofErr w:type="gramEnd"/>
      <w:r w:rsidRPr="00CD66D1">
        <w:rPr>
          <w:rFonts w:ascii="Arial" w:hAnsi="Arial" w:cs="Arial"/>
        </w:rPr>
        <w:t xml:space="preserve">. In the worst-case scenario, the disclosure’s subject matter may not </w:t>
      </w:r>
      <w:proofErr w:type="gramStart"/>
      <w:r w:rsidRPr="00CD66D1">
        <w:rPr>
          <w:rFonts w:ascii="Arial" w:hAnsi="Arial" w:cs="Arial"/>
        </w:rPr>
        <w:t>be protected</w:t>
      </w:r>
      <w:proofErr w:type="gramEnd"/>
      <w:r w:rsidRPr="00CD66D1">
        <w:rPr>
          <w:rFonts w:ascii="Arial" w:hAnsi="Arial" w:cs="Arial"/>
        </w:rPr>
        <w:t xml:space="preserve"> by attorney client privilege.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E8B67" w14:textId="77777777" w:rsidR="0018091D" w:rsidRPr="0018091D" w:rsidRDefault="0018091D" w:rsidP="0018091D">
    <w:pPr>
      <w:pStyle w:val="Title"/>
      <w:rPr>
        <w:sz w:val="24"/>
      </w:rPr>
    </w:pPr>
    <w:r w:rsidRPr="0018091D">
      <w:rPr>
        <w:sz w:val="24"/>
      </w:rPr>
      <w:t>CHECKLIST FOR SALE OR ACQUISITION OF A SMALL BUSINESS</w:t>
    </w:r>
  </w:p>
  <w:p w14:paraId="298E058A" w14:textId="77777777" w:rsidR="0018091D" w:rsidRDefault="00180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779B4"/>
    <w:multiLevelType w:val="singleLevel"/>
    <w:tmpl w:val="DD64E238"/>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2ABC333A"/>
    <w:multiLevelType w:val="singleLevel"/>
    <w:tmpl w:val="DD64E238"/>
    <w:lvl w:ilvl="0">
      <w:start w:val="1"/>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40345F3E"/>
    <w:multiLevelType w:val="singleLevel"/>
    <w:tmpl w:val="DD64E238"/>
    <w:lvl w:ilvl="0">
      <w:start w:val="1"/>
      <w:numFmt w:val="bullet"/>
      <w:lvlText w:val=""/>
      <w:lvlJc w:val="left"/>
      <w:pPr>
        <w:tabs>
          <w:tab w:val="num" w:pos="360"/>
        </w:tabs>
        <w:ind w:left="360" w:hanging="360"/>
      </w:pPr>
      <w:rPr>
        <w:rFonts w:ascii="Wingdings" w:hAnsi="Wingdings" w:hint="default"/>
        <w:sz w:val="20"/>
      </w:rPr>
    </w:lvl>
  </w:abstractNum>
  <w:abstractNum w:abstractNumId="3" w15:restartNumberingAfterBreak="0">
    <w:nsid w:val="4DE63C51"/>
    <w:multiLevelType w:val="singleLevel"/>
    <w:tmpl w:val="DD64E238"/>
    <w:lvl w:ilvl="0">
      <w:start w:val="1"/>
      <w:numFmt w:val="bullet"/>
      <w:lvlText w:val=""/>
      <w:lvlJc w:val="left"/>
      <w:pPr>
        <w:tabs>
          <w:tab w:val="num" w:pos="360"/>
        </w:tabs>
        <w:ind w:left="360" w:hanging="360"/>
      </w:pPr>
      <w:rPr>
        <w:rFonts w:ascii="Wingdings" w:hAnsi="Wingdings" w:hint="default"/>
        <w:sz w:val="20"/>
      </w:rPr>
    </w:lvl>
  </w:abstractNum>
  <w:abstractNum w:abstractNumId="4" w15:restartNumberingAfterBreak="0">
    <w:nsid w:val="5F9F14F3"/>
    <w:multiLevelType w:val="hybridMultilevel"/>
    <w:tmpl w:val="771A95C2"/>
    <w:lvl w:ilvl="0" w:tplc="D3B44F1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7950CF"/>
    <w:multiLevelType w:val="singleLevel"/>
    <w:tmpl w:val="DD64E238"/>
    <w:lvl w:ilvl="0">
      <w:start w:val="1"/>
      <w:numFmt w:val="bullet"/>
      <w:lvlText w:val=""/>
      <w:lvlJc w:val="left"/>
      <w:pPr>
        <w:tabs>
          <w:tab w:val="num" w:pos="360"/>
        </w:tabs>
        <w:ind w:left="360" w:hanging="360"/>
      </w:pPr>
      <w:rPr>
        <w:rFonts w:ascii="Wingdings" w:hAnsi="Wingdings" w:hint="default"/>
        <w:sz w:val="20"/>
      </w:rPr>
    </w:lvl>
  </w:abstractNum>
  <w:abstractNum w:abstractNumId="6" w15:restartNumberingAfterBreak="0">
    <w:nsid w:val="633414AA"/>
    <w:multiLevelType w:val="singleLevel"/>
    <w:tmpl w:val="DD64E238"/>
    <w:lvl w:ilvl="0">
      <w:start w:val="1"/>
      <w:numFmt w:val="bullet"/>
      <w:lvlText w:val=""/>
      <w:lvlJc w:val="left"/>
      <w:pPr>
        <w:tabs>
          <w:tab w:val="num" w:pos="360"/>
        </w:tabs>
        <w:ind w:left="360" w:hanging="360"/>
      </w:pPr>
      <w:rPr>
        <w:rFonts w:ascii="Wingdings" w:hAnsi="Wingdings" w:hint="default"/>
        <w:sz w:val="20"/>
      </w:rPr>
    </w:lvl>
  </w:abstractNum>
  <w:abstractNum w:abstractNumId="7" w15:restartNumberingAfterBreak="0">
    <w:nsid w:val="69EA7EC3"/>
    <w:multiLevelType w:val="singleLevel"/>
    <w:tmpl w:val="DD64E238"/>
    <w:lvl w:ilvl="0">
      <w:start w:val="1"/>
      <w:numFmt w:val="bullet"/>
      <w:lvlText w:val=""/>
      <w:lvlJc w:val="left"/>
      <w:pPr>
        <w:tabs>
          <w:tab w:val="num" w:pos="360"/>
        </w:tabs>
        <w:ind w:left="360" w:hanging="360"/>
      </w:pPr>
      <w:rPr>
        <w:rFonts w:ascii="Wingdings" w:hAnsi="Wingdings" w:hint="default"/>
        <w:sz w:val="20"/>
      </w:rPr>
    </w:lvl>
  </w:abstractNum>
  <w:abstractNum w:abstractNumId="8" w15:restartNumberingAfterBreak="0">
    <w:nsid w:val="783A2C15"/>
    <w:multiLevelType w:val="singleLevel"/>
    <w:tmpl w:val="DD64E238"/>
    <w:lvl w:ilvl="0">
      <w:start w:val="1"/>
      <w:numFmt w:val="bullet"/>
      <w:lvlText w:val=""/>
      <w:lvlJc w:val="left"/>
      <w:pPr>
        <w:tabs>
          <w:tab w:val="num" w:pos="360"/>
        </w:tabs>
        <w:ind w:left="360" w:hanging="360"/>
      </w:pPr>
      <w:rPr>
        <w:rFonts w:ascii="Wingdings" w:hAnsi="Wingdings" w:hint="default"/>
        <w:sz w:val="20"/>
      </w:rPr>
    </w:lvl>
  </w:abstractNum>
  <w:abstractNum w:abstractNumId="9" w15:restartNumberingAfterBreak="0">
    <w:nsid w:val="7CE076CF"/>
    <w:multiLevelType w:val="singleLevel"/>
    <w:tmpl w:val="DD64E238"/>
    <w:lvl w:ilvl="0">
      <w:start w:val="1"/>
      <w:numFmt w:val="bullet"/>
      <w:lvlText w:val=""/>
      <w:lvlJc w:val="left"/>
      <w:pPr>
        <w:tabs>
          <w:tab w:val="num" w:pos="360"/>
        </w:tabs>
        <w:ind w:left="360" w:hanging="360"/>
      </w:pPr>
      <w:rPr>
        <w:rFonts w:ascii="Wingdings" w:hAnsi="Wingdings" w:hint="default"/>
        <w:sz w:val="20"/>
      </w:rPr>
    </w:lvl>
  </w:abstractNum>
  <w:num w:numId="1" w16cid:durableId="1078864082">
    <w:abstractNumId w:val="5"/>
  </w:num>
  <w:num w:numId="2" w16cid:durableId="61418197">
    <w:abstractNumId w:val="9"/>
  </w:num>
  <w:num w:numId="3" w16cid:durableId="1185677823">
    <w:abstractNumId w:val="1"/>
  </w:num>
  <w:num w:numId="4" w16cid:durableId="538324116">
    <w:abstractNumId w:val="7"/>
  </w:num>
  <w:num w:numId="5" w16cid:durableId="1541550755">
    <w:abstractNumId w:val="2"/>
  </w:num>
  <w:num w:numId="6" w16cid:durableId="460077581">
    <w:abstractNumId w:val="0"/>
  </w:num>
  <w:num w:numId="7" w16cid:durableId="1063332603">
    <w:abstractNumId w:val="3"/>
  </w:num>
  <w:num w:numId="8" w16cid:durableId="858664086">
    <w:abstractNumId w:val="6"/>
  </w:num>
  <w:num w:numId="9" w16cid:durableId="78797396">
    <w:abstractNumId w:val="8"/>
  </w:num>
  <w:num w:numId="10" w16cid:durableId="8068997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7B1"/>
    <w:rsid w:val="00050D19"/>
    <w:rsid w:val="00055BD6"/>
    <w:rsid w:val="000629F6"/>
    <w:rsid w:val="0007132C"/>
    <w:rsid w:val="00094ABC"/>
    <w:rsid w:val="000C650C"/>
    <w:rsid w:val="000D4A99"/>
    <w:rsid w:val="000D6BB8"/>
    <w:rsid w:val="000E210D"/>
    <w:rsid w:val="000F437F"/>
    <w:rsid w:val="00104B52"/>
    <w:rsid w:val="0012502B"/>
    <w:rsid w:val="0013517E"/>
    <w:rsid w:val="00163FE1"/>
    <w:rsid w:val="001748D8"/>
    <w:rsid w:val="00175227"/>
    <w:rsid w:val="0018091D"/>
    <w:rsid w:val="001A0AC2"/>
    <w:rsid w:val="001B0CF9"/>
    <w:rsid w:val="001B712C"/>
    <w:rsid w:val="001E3B99"/>
    <w:rsid w:val="0021399F"/>
    <w:rsid w:val="002159AC"/>
    <w:rsid w:val="002220F8"/>
    <w:rsid w:val="00231275"/>
    <w:rsid w:val="00237587"/>
    <w:rsid w:val="00242EB1"/>
    <w:rsid w:val="0024325A"/>
    <w:rsid w:val="002530EA"/>
    <w:rsid w:val="00264FB1"/>
    <w:rsid w:val="002B3E42"/>
    <w:rsid w:val="002B63AF"/>
    <w:rsid w:val="002B680A"/>
    <w:rsid w:val="002C5C2A"/>
    <w:rsid w:val="003005E4"/>
    <w:rsid w:val="00323671"/>
    <w:rsid w:val="003307B1"/>
    <w:rsid w:val="003469A7"/>
    <w:rsid w:val="00352B63"/>
    <w:rsid w:val="003640DC"/>
    <w:rsid w:val="003771F6"/>
    <w:rsid w:val="003776C3"/>
    <w:rsid w:val="00391010"/>
    <w:rsid w:val="003A175C"/>
    <w:rsid w:val="003A29DD"/>
    <w:rsid w:val="003B1E01"/>
    <w:rsid w:val="003C6F52"/>
    <w:rsid w:val="003E24F8"/>
    <w:rsid w:val="003E3B87"/>
    <w:rsid w:val="003F350E"/>
    <w:rsid w:val="00406DCF"/>
    <w:rsid w:val="0040775D"/>
    <w:rsid w:val="00420EE3"/>
    <w:rsid w:val="004720C6"/>
    <w:rsid w:val="00484482"/>
    <w:rsid w:val="004B1D5E"/>
    <w:rsid w:val="004D5F27"/>
    <w:rsid w:val="004D7552"/>
    <w:rsid w:val="00502353"/>
    <w:rsid w:val="00525061"/>
    <w:rsid w:val="0054612F"/>
    <w:rsid w:val="00547BA5"/>
    <w:rsid w:val="00563371"/>
    <w:rsid w:val="00573219"/>
    <w:rsid w:val="005925B2"/>
    <w:rsid w:val="00597C74"/>
    <w:rsid w:val="005A4A7A"/>
    <w:rsid w:val="005B2731"/>
    <w:rsid w:val="005B4E2F"/>
    <w:rsid w:val="005C413E"/>
    <w:rsid w:val="005D1F99"/>
    <w:rsid w:val="005E0388"/>
    <w:rsid w:val="005E2105"/>
    <w:rsid w:val="00604630"/>
    <w:rsid w:val="00607E9F"/>
    <w:rsid w:val="00611251"/>
    <w:rsid w:val="00612DD5"/>
    <w:rsid w:val="00617D1F"/>
    <w:rsid w:val="00636F79"/>
    <w:rsid w:val="00653F3C"/>
    <w:rsid w:val="00667755"/>
    <w:rsid w:val="00670CEE"/>
    <w:rsid w:val="0069761D"/>
    <w:rsid w:val="006D625F"/>
    <w:rsid w:val="006E42C0"/>
    <w:rsid w:val="006E70B1"/>
    <w:rsid w:val="006F5B58"/>
    <w:rsid w:val="00705899"/>
    <w:rsid w:val="0070774A"/>
    <w:rsid w:val="00730469"/>
    <w:rsid w:val="0073540E"/>
    <w:rsid w:val="00744470"/>
    <w:rsid w:val="007578E2"/>
    <w:rsid w:val="00777410"/>
    <w:rsid w:val="00781089"/>
    <w:rsid w:val="00782BA3"/>
    <w:rsid w:val="00792D0C"/>
    <w:rsid w:val="00794E17"/>
    <w:rsid w:val="007D28EA"/>
    <w:rsid w:val="007E42D8"/>
    <w:rsid w:val="007F599D"/>
    <w:rsid w:val="007F5C6A"/>
    <w:rsid w:val="00820B34"/>
    <w:rsid w:val="00823511"/>
    <w:rsid w:val="00830A34"/>
    <w:rsid w:val="008366B2"/>
    <w:rsid w:val="00855F51"/>
    <w:rsid w:val="008618BD"/>
    <w:rsid w:val="0087151F"/>
    <w:rsid w:val="00884EB2"/>
    <w:rsid w:val="0089549B"/>
    <w:rsid w:val="008E0439"/>
    <w:rsid w:val="008F7A84"/>
    <w:rsid w:val="00902ED8"/>
    <w:rsid w:val="00987158"/>
    <w:rsid w:val="00993E8A"/>
    <w:rsid w:val="009A794F"/>
    <w:rsid w:val="009C7987"/>
    <w:rsid w:val="00A05E15"/>
    <w:rsid w:val="00A06FCC"/>
    <w:rsid w:val="00A356B4"/>
    <w:rsid w:val="00A76CD0"/>
    <w:rsid w:val="00AA1D38"/>
    <w:rsid w:val="00AC1086"/>
    <w:rsid w:val="00AD1100"/>
    <w:rsid w:val="00AF2BC3"/>
    <w:rsid w:val="00AF6E12"/>
    <w:rsid w:val="00B055F9"/>
    <w:rsid w:val="00B144E6"/>
    <w:rsid w:val="00B276ED"/>
    <w:rsid w:val="00B33D7C"/>
    <w:rsid w:val="00B5759F"/>
    <w:rsid w:val="00B61EB3"/>
    <w:rsid w:val="00B654EE"/>
    <w:rsid w:val="00B85614"/>
    <w:rsid w:val="00B922BF"/>
    <w:rsid w:val="00B943B6"/>
    <w:rsid w:val="00BA6BBE"/>
    <w:rsid w:val="00BB2FDD"/>
    <w:rsid w:val="00BC4237"/>
    <w:rsid w:val="00BC5B8F"/>
    <w:rsid w:val="00BD1065"/>
    <w:rsid w:val="00BD63BF"/>
    <w:rsid w:val="00BE1DDC"/>
    <w:rsid w:val="00BE31D8"/>
    <w:rsid w:val="00BE4C66"/>
    <w:rsid w:val="00C30EFD"/>
    <w:rsid w:val="00C37EE8"/>
    <w:rsid w:val="00C40CBE"/>
    <w:rsid w:val="00C53CF3"/>
    <w:rsid w:val="00C567E4"/>
    <w:rsid w:val="00C63213"/>
    <w:rsid w:val="00C74CCC"/>
    <w:rsid w:val="00C83A42"/>
    <w:rsid w:val="00C870D4"/>
    <w:rsid w:val="00CA22D6"/>
    <w:rsid w:val="00CC3D01"/>
    <w:rsid w:val="00CD66D1"/>
    <w:rsid w:val="00D277C4"/>
    <w:rsid w:val="00D677BD"/>
    <w:rsid w:val="00D9206D"/>
    <w:rsid w:val="00D93CC8"/>
    <w:rsid w:val="00D96E00"/>
    <w:rsid w:val="00DA1D45"/>
    <w:rsid w:val="00DC063F"/>
    <w:rsid w:val="00DF5AD3"/>
    <w:rsid w:val="00E059E6"/>
    <w:rsid w:val="00E47A70"/>
    <w:rsid w:val="00E60BA0"/>
    <w:rsid w:val="00E93FAC"/>
    <w:rsid w:val="00E9400A"/>
    <w:rsid w:val="00E95F65"/>
    <w:rsid w:val="00EA2361"/>
    <w:rsid w:val="00EC2DC5"/>
    <w:rsid w:val="00ED6A8D"/>
    <w:rsid w:val="00F03F05"/>
    <w:rsid w:val="00F1028B"/>
    <w:rsid w:val="00F23932"/>
    <w:rsid w:val="00F268C7"/>
    <w:rsid w:val="00F55537"/>
    <w:rsid w:val="00F6465E"/>
    <w:rsid w:val="00F715F0"/>
    <w:rsid w:val="00F76794"/>
    <w:rsid w:val="00F970FF"/>
    <w:rsid w:val="00FB2230"/>
    <w:rsid w:val="00FD6547"/>
    <w:rsid w:val="00FD6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58EC4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tabs>
        <w:tab w:val="left" w:pos="-720"/>
      </w:tabs>
      <w:suppressAutoHyphens/>
      <w:spacing w:line="240" w:lineRule="exact"/>
      <w:jc w:val="both"/>
      <w:outlineLvl w:val="0"/>
    </w:pPr>
    <w:rPr>
      <w:rFonts w:ascii="Arial" w:hAnsi="Arial"/>
      <w:b/>
      <w:spacing w:val="-2"/>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itleChar"/>
    <w:qFormat/>
    <w:pPr>
      <w:suppressAutoHyphens/>
      <w:spacing w:before="120" w:line="240" w:lineRule="exact"/>
      <w:jc w:val="center"/>
    </w:pPr>
    <w:rPr>
      <w:rFonts w:ascii="Arial" w:hAnsi="Arial"/>
      <w:b/>
      <w:spacing w:val="-3"/>
      <w:sz w:val="28"/>
      <w:lang w:val="x-none" w:eastAsia="x-none"/>
    </w:rPr>
  </w:style>
  <w:style w:type="character" w:styleId="PageNumber">
    <w:name w:val="page number"/>
    <w:basedOn w:val="DefaultParagraphFont"/>
  </w:style>
  <w:style w:type="paragraph" w:styleId="BalloonText">
    <w:name w:val="Balloon Text"/>
    <w:basedOn w:val="Normal"/>
    <w:semiHidden/>
    <w:rsid w:val="008366B2"/>
    <w:rPr>
      <w:rFonts w:ascii="Tahoma" w:hAnsi="Tahoma" w:cs="Tahoma"/>
      <w:sz w:val="16"/>
      <w:szCs w:val="16"/>
    </w:rPr>
  </w:style>
  <w:style w:type="character" w:customStyle="1" w:styleId="Heading1Char">
    <w:name w:val="Heading 1 Char"/>
    <w:link w:val="Heading1"/>
    <w:rsid w:val="00D93CC8"/>
    <w:rPr>
      <w:rFonts w:ascii="Arial" w:hAnsi="Arial"/>
      <w:b/>
      <w:spacing w:val="-2"/>
      <w:sz w:val="24"/>
    </w:rPr>
  </w:style>
  <w:style w:type="character" w:customStyle="1" w:styleId="TitleChar">
    <w:name w:val="Title Char"/>
    <w:link w:val="Title"/>
    <w:rsid w:val="00D93CC8"/>
    <w:rPr>
      <w:rFonts w:ascii="Arial" w:hAnsi="Arial"/>
      <w:b/>
      <w:spacing w:val="-3"/>
      <w:sz w:val="28"/>
    </w:rPr>
  </w:style>
  <w:style w:type="paragraph" w:styleId="ListParagraph">
    <w:name w:val="List Paragraph"/>
    <w:basedOn w:val="Normal"/>
    <w:uiPriority w:val="34"/>
    <w:qFormat/>
    <w:rsid w:val="00BC5B8F"/>
    <w:pPr>
      <w:ind w:left="720"/>
    </w:pPr>
  </w:style>
  <w:style w:type="character" w:customStyle="1" w:styleId="HeaderChar">
    <w:name w:val="Header Char"/>
    <w:link w:val="Header"/>
    <w:uiPriority w:val="99"/>
    <w:rsid w:val="0018091D"/>
  </w:style>
  <w:style w:type="character" w:styleId="CommentReference">
    <w:name w:val="annotation reference"/>
    <w:basedOn w:val="DefaultParagraphFont"/>
    <w:uiPriority w:val="99"/>
    <w:semiHidden/>
    <w:unhideWhenUsed/>
    <w:rsid w:val="00B33D7C"/>
    <w:rPr>
      <w:sz w:val="16"/>
      <w:szCs w:val="16"/>
    </w:rPr>
  </w:style>
  <w:style w:type="paragraph" w:styleId="CommentText">
    <w:name w:val="annotation text"/>
    <w:basedOn w:val="Normal"/>
    <w:link w:val="CommentTextChar"/>
    <w:uiPriority w:val="99"/>
    <w:unhideWhenUsed/>
    <w:rsid w:val="00B33D7C"/>
  </w:style>
  <w:style w:type="character" w:customStyle="1" w:styleId="CommentTextChar">
    <w:name w:val="Comment Text Char"/>
    <w:basedOn w:val="DefaultParagraphFont"/>
    <w:link w:val="CommentText"/>
    <w:uiPriority w:val="99"/>
    <w:rsid w:val="00B33D7C"/>
  </w:style>
  <w:style w:type="paragraph" w:styleId="CommentSubject">
    <w:name w:val="annotation subject"/>
    <w:basedOn w:val="CommentText"/>
    <w:next w:val="CommentText"/>
    <w:link w:val="CommentSubjectChar"/>
    <w:uiPriority w:val="99"/>
    <w:semiHidden/>
    <w:unhideWhenUsed/>
    <w:rsid w:val="00B33D7C"/>
    <w:rPr>
      <w:b/>
      <w:bCs/>
    </w:rPr>
  </w:style>
  <w:style w:type="character" w:customStyle="1" w:styleId="CommentSubjectChar">
    <w:name w:val="Comment Subject Char"/>
    <w:basedOn w:val="CommentTextChar"/>
    <w:link w:val="CommentSubject"/>
    <w:uiPriority w:val="99"/>
    <w:semiHidden/>
    <w:rsid w:val="00B33D7C"/>
    <w:rPr>
      <w:b/>
      <w:bCs/>
    </w:rPr>
  </w:style>
  <w:style w:type="paragraph" w:styleId="Revision">
    <w:name w:val="Revision"/>
    <w:hidden/>
    <w:uiPriority w:val="99"/>
    <w:semiHidden/>
    <w:rsid w:val="006E42C0"/>
  </w:style>
  <w:style w:type="paragraph" w:styleId="FootnoteText">
    <w:name w:val="footnote text"/>
    <w:basedOn w:val="Normal"/>
    <w:link w:val="FootnoteTextChar"/>
    <w:uiPriority w:val="99"/>
    <w:semiHidden/>
    <w:unhideWhenUsed/>
    <w:rsid w:val="00993E8A"/>
  </w:style>
  <w:style w:type="character" w:customStyle="1" w:styleId="FootnoteTextChar">
    <w:name w:val="Footnote Text Char"/>
    <w:basedOn w:val="DefaultParagraphFont"/>
    <w:link w:val="FootnoteText"/>
    <w:uiPriority w:val="99"/>
    <w:semiHidden/>
    <w:rsid w:val="00993E8A"/>
  </w:style>
  <w:style w:type="character" w:styleId="FootnoteReference">
    <w:name w:val="footnote reference"/>
    <w:basedOn w:val="DefaultParagraphFont"/>
    <w:uiPriority w:val="99"/>
    <w:semiHidden/>
    <w:unhideWhenUsed/>
    <w:rsid w:val="00993E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186cdf3b18095323c6504df0b6e6448a">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d6d26367b7ff32725adc3b987b9de164"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d4c6ae-ec91-4a04-820a-4eab9340ef53" xsi:nil="true"/>
    <lcf76f155ced4ddcb4097134ff3c332f xmlns="fb0aa6ef-daab-4cfe-a05a-01896b7818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86E6B7-D37E-4D07-A57F-E5069FFDC609}"/>
</file>

<file path=customXml/itemProps2.xml><?xml version="1.0" encoding="utf-8"?>
<ds:datastoreItem xmlns:ds="http://schemas.openxmlformats.org/officeDocument/2006/customXml" ds:itemID="{72991397-0419-48C2-AEA0-C95A160E82D8}"/>
</file>

<file path=customXml/itemProps3.xml><?xml version="1.0" encoding="utf-8"?>
<ds:datastoreItem xmlns:ds="http://schemas.openxmlformats.org/officeDocument/2006/customXml" ds:itemID="{1E3D3E86-FB52-4C3B-A52F-13B8579BA42A}"/>
</file>

<file path=docProps/app.xml><?xml version="1.0" encoding="utf-8"?>
<Properties xmlns="http://schemas.openxmlformats.org/officeDocument/2006/extended-properties" xmlns:vt="http://schemas.openxmlformats.org/officeDocument/2006/docPropsVTypes">
  <Template>Normal</Template>
  <TotalTime>0</TotalTime>
  <Pages>5</Pages>
  <Words>2431</Words>
  <Characters>12670</Characters>
  <Application>Microsoft Office Word</Application>
  <DocSecurity>0</DocSecurity>
  <PresentationFormat>[Compatibility Mode]</PresentationFormat>
  <Lines>186</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2025-10-27T15:48:00Z</dcterms:created>
  <dcterms:modified xsi:type="dcterms:W3CDTF">2025-10-27T15:49:00Z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0x010100A1DDC338712AAF438B3B42F2A08579B3</vt:lpwstr>
  </property>
</Properties>
</file>