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2952"/>
        <w:gridCol w:w="2952"/>
        <w:gridCol w:w="3631"/>
      </w:tblGrid>
      <w:tr w:rsidR="00CC270F" w:rsidRPr="00370A43" w14:paraId="1F49DF01" w14:textId="77777777" w:rsidTr="00693DE7">
        <w:tc>
          <w:tcPr>
            <w:tcW w:w="9535" w:type="dxa"/>
            <w:gridSpan w:val="3"/>
          </w:tcPr>
          <w:p w14:paraId="0A179C12" w14:textId="77777777" w:rsidR="00904974" w:rsidRPr="00370A43" w:rsidRDefault="00904974" w:rsidP="00370A43">
            <w:pPr>
              <w:jc w:val="center"/>
              <w:rPr>
                <w:rFonts w:cs="Arial"/>
                <w:b/>
                <w:sz w:val="22"/>
                <w:szCs w:val="22"/>
              </w:rPr>
            </w:pPr>
            <w:r w:rsidRPr="00370A43">
              <w:rPr>
                <w:rFonts w:cs="Arial"/>
                <w:b/>
                <w:sz w:val="22"/>
                <w:szCs w:val="22"/>
              </w:rPr>
              <w:t>USE THIS INFORMATION WITH CAUTION</w:t>
            </w:r>
          </w:p>
          <w:p w14:paraId="46CB1AEE" w14:textId="77777777" w:rsidR="00904974" w:rsidRPr="00370A43" w:rsidRDefault="00904974" w:rsidP="00370A43">
            <w:pPr>
              <w:rPr>
                <w:rFonts w:cs="Arial"/>
                <w:sz w:val="22"/>
                <w:szCs w:val="22"/>
              </w:rPr>
            </w:pPr>
          </w:p>
          <w:p w14:paraId="78D505BB" w14:textId="1C97BC29" w:rsidR="00CC270F" w:rsidRPr="00370A43" w:rsidRDefault="00904974" w:rsidP="00370A43">
            <w:pPr>
              <w:rPr>
                <w:rFonts w:cs="Arial"/>
                <w:sz w:val="22"/>
                <w:szCs w:val="22"/>
              </w:rPr>
            </w:pPr>
            <w:r w:rsidRPr="00370A43">
              <w:rPr>
                <w:rFonts w:cs="Arial"/>
                <w:b/>
                <w:sz w:val="22"/>
                <w:szCs w:val="22"/>
              </w:rPr>
              <w:t xml:space="preserve">This summary </w:t>
            </w:r>
            <w:proofErr w:type="gramStart"/>
            <w:r w:rsidRPr="00370A43">
              <w:rPr>
                <w:rFonts w:cs="Arial"/>
                <w:b/>
                <w:sz w:val="22"/>
                <w:szCs w:val="22"/>
              </w:rPr>
              <w:t>contains</w:t>
            </w:r>
            <w:proofErr w:type="gramEnd"/>
            <w:r w:rsidRPr="00370A43">
              <w:rPr>
                <w:rFonts w:cs="Arial"/>
                <w:b/>
                <w:sz w:val="22"/>
                <w:szCs w:val="22"/>
              </w:rPr>
              <w:t xml:space="preserve"> general information only, and must not </w:t>
            </w:r>
            <w:proofErr w:type="gramStart"/>
            <w:r w:rsidRPr="00370A43">
              <w:rPr>
                <w:rFonts w:cs="Arial"/>
                <w:b/>
                <w:sz w:val="22"/>
                <w:szCs w:val="22"/>
              </w:rPr>
              <w:t>be construed</w:t>
            </w:r>
            <w:proofErr w:type="gramEnd"/>
            <w:r w:rsidRPr="00370A43">
              <w:rPr>
                <w:rFonts w:cs="Arial"/>
                <w:b/>
                <w:sz w:val="22"/>
                <w:szCs w:val="22"/>
              </w:rPr>
              <w:t xml:space="preserve"> as legal advice, or take the place of competent legal counsel. </w:t>
            </w:r>
            <w:r w:rsidRPr="00370A43">
              <w:rPr>
                <w:rFonts w:cs="Arial"/>
                <w:sz w:val="22"/>
                <w:szCs w:val="22"/>
              </w:rPr>
              <w:t xml:space="preserve">Its purpose is to provide general – not specific – information on </w:t>
            </w:r>
            <w:r w:rsidRPr="00370A43">
              <w:rPr>
                <w:rFonts w:cs="Arial"/>
                <w:sz w:val="22"/>
                <w:szCs w:val="22"/>
                <w:u w:val="single"/>
              </w:rPr>
              <w:t>some</w:t>
            </w:r>
            <w:r w:rsidRPr="00370A43">
              <w:rPr>
                <w:rFonts w:cs="Arial"/>
                <w:sz w:val="22"/>
                <w:szCs w:val="22"/>
              </w:rPr>
              <w:t xml:space="preserve"> of the steps and precautions that must </w:t>
            </w:r>
            <w:proofErr w:type="gramStart"/>
            <w:r w:rsidRPr="00370A43">
              <w:rPr>
                <w:rFonts w:cs="Arial"/>
                <w:sz w:val="22"/>
                <w:szCs w:val="22"/>
              </w:rPr>
              <w:t>be taken</w:t>
            </w:r>
            <w:proofErr w:type="gramEnd"/>
            <w:r w:rsidRPr="00370A43">
              <w:rPr>
                <w:rFonts w:cs="Arial"/>
                <w:sz w:val="22"/>
                <w:szCs w:val="22"/>
              </w:rPr>
              <w:t xml:space="preserve">, so that a </w:t>
            </w:r>
            <w:r w:rsidR="00665EA3" w:rsidRPr="00370A43">
              <w:rPr>
                <w:rFonts w:cs="Arial"/>
                <w:sz w:val="22"/>
                <w:szCs w:val="22"/>
              </w:rPr>
              <w:t xml:space="preserve">so that a </w:t>
            </w:r>
            <w:r w:rsidR="00BB0F7D">
              <w:rPr>
                <w:rFonts w:cs="Arial"/>
                <w:sz w:val="22"/>
                <w:szCs w:val="22"/>
              </w:rPr>
              <w:t xml:space="preserve">statutory </w:t>
            </w:r>
            <w:r w:rsidR="00665EA3" w:rsidRPr="00370A43">
              <w:rPr>
                <w:rFonts w:cs="Arial"/>
                <w:sz w:val="22"/>
                <w:szCs w:val="22"/>
              </w:rPr>
              <w:t xml:space="preserve">bond claim may be valid and may </w:t>
            </w:r>
            <w:proofErr w:type="gramStart"/>
            <w:r w:rsidR="00665EA3" w:rsidRPr="00370A43">
              <w:rPr>
                <w:rFonts w:cs="Arial"/>
                <w:sz w:val="22"/>
                <w:szCs w:val="22"/>
              </w:rPr>
              <w:t>be enforced</w:t>
            </w:r>
            <w:proofErr w:type="gramEnd"/>
            <w:r w:rsidR="00665EA3" w:rsidRPr="00370A43">
              <w:rPr>
                <w:rFonts w:cs="Arial"/>
                <w:sz w:val="22"/>
                <w:szCs w:val="22"/>
              </w:rPr>
              <w:t xml:space="preserve">, if necessary. The </w:t>
            </w:r>
            <w:r w:rsidR="00BB0F7D">
              <w:rPr>
                <w:rFonts w:cs="Arial"/>
                <w:sz w:val="22"/>
                <w:szCs w:val="22"/>
              </w:rPr>
              <w:t>statute</w:t>
            </w:r>
            <w:r w:rsidR="00665EA3" w:rsidRPr="00370A43">
              <w:rPr>
                <w:rFonts w:cs="Arial"/>
                <w:sz w:val="22"/>
                <w:szCs w:val="22"/>
              </w:rPr>
              <w:t xml:space="preserve">s are complicated, and the procedures and follow-through on the preparation of any bond claim should </w:t>
            </w:r>
            <w:proofErr w:type="gramStart"/>
            <w:r w:rsidR="00665EA3" w:rsidRPr="00370A43">
              <w:rPr>
                <w:rFonts w:cs="Arial"/>
                <w:sz w:val="22"/>
                <w:szCs w:val="22"/>
              </w:rPr>
              <w:t>be carefully checked</w:t>
            </w:r>
            <w:proofErr w:type="gramEnd"/>
            <w:r w:rsidR="00665EA3" w:rsidRPr="00370A43">
              <w:rPr>
                <w:rFonts w:cs="Arial"/>
                <w:sz w:val="22"/>
                <w:szCs w:val="22"/>
              </w:rPr>
              <w:t xml:space="preserve">. Always check to see whether </w:t>
            </w:r>
            <w:proofErr w:type="gramStart"/>
            <w:r w:rsidR="00665EA3" w:rsidRPr="00370A43">
              <w:rPr>
                <w:rFonts w:cs="Arial"/>
                <w:sz w:val="22"/>
                <w:szCs w:val="22"/>
              </w:rPr>
              <w:t>statutes may have been amended by the Oregon Legislature</w:t>
            </w:r>
            <w:proofErr w:type="gramEnd"/>
            <w:r w:rsidR="00665EA3" w:rsidRPr="00370A43">
              <w:rPr>
                <w:rFonts w:cs="Arial"/>
                <w:sz w:val="22"/>
                <w:szCs w:val="22"/>
              </w:rPr>
              <w:t xml:space="preserve"> and to see if there is any new relevant case law – thus, the general information contained in this summary may </w:t>
            </w:r>
            <w:proofErr w:type="gramStart"/>
            <w:r w:rsidR="00665EA3" w:rsidRPr="00370A43">
              <w:rPr>
                <w:rFonts w:cs="Arial"/>
                <w:sz w:val="22"/>
                <w:szCs w:val="22"/>
              </w:rPr>
              <w:t>be dated</w:t>
            </w:r>
            <w:proofErr w:type="gramEnd"/>
            <w:r w:rsidR="00665EA3" w:rsidRPr="00370A43">
              <w:rPr>
                <w:rFonts w:cs="Arial"/>
                <w:sz w:val="22"/>
                <w:szCs w:val="22"/>
              </w:rPr>
              <w:t>. In addition, all contractors should make sure that they are properly licensed and endorsed with the Oregon Construction Contractors Board.</w:t>
            </w:r>
          </w:p>
        </w:tc>
      </w:tr>
      <w:tr w:rsidR="00CC270F" w:rsidRPr="00370A43" w14:paraId="57A1BCDF" w14:textId="77777777" w:rsidTr="00693DE7">
        <w:tc>
          <w:tcPr>
            <w:tcW w:w="9535" w:type="dxa"/>
            <w:gridSpan w:val="3"/>
            <w:shd w:val="clear" w:color="auto" w:fill="000000" w:themeFill="text1"/>
          </w:tcPr>
          <w:p w14:paraId="6FFCFDCE" w14:textId="77777777" w:rsidR="00CC270F" w:rsidRPr="00370A43" w:rsidRDefault="006B1FF0" w:rsidP="00370A43">
            <w:pPr>
              <w:numPr>
                <w:ilvl w:val="0"/>
                <w:numId w:val="6"/>
              </w:numPr>
              <w:tabs>
                <w:tab w:val="left" w:pos="-1440"/>
              </w:tabs>
              <w:jc w:val="center"/>
              <w:rPr>
                <w:rFonts w:cs="Arial"/>
                <w:b/>
                <w:sz w:val="22"/>
                <w:szCs w:val="22"/>
              </w:rPr>
            </w:pPr>
            <w:r w:rsidRPr="00370A43">
              <w:rPr>
                <w:rFonts w:cs="Arial"/>
                <w:b/>
                <w:sz w:val="22"/>
                <w:szCs w:val="22"/>
              </w:rPr>
              <w:t>Pre-claim Notice</w:t>
            </w:r>
          </w:p>
        </w:tc>
      </w:tr>
      <w:tr w:rsidR="00303CD4" w:rsidRPr="00370A43" w14:paraId="570A1CC2" w14:textId="77777777" w:rsidTr="00693DE7">
        <w:tc>
          <w:tcPr>
            <w:tcW w:w="9535" w:type="dxa"/>
            <w:gridSpan w:val="3"/>
          </w:tcPr>
          <w:p w14:paraId="72D7ACB9" w14:textId="77777777" w:rsidR="00303CD4" w:rsidRPr="00370A43" w:rsidRDefault="00303CD4" w:rsidP="00370A43">
            <w:pPr>
              <w:tabs>
                <w:tab w:val="left" w:pos="-1440"/>
              </w:tabs>
              <w:jc w:val="center"/>
              <w:rPr>
                <w:rFonts w:cs="Arial"/>
                <w:b/>
                <w:sz w:val="22"/>
                <w:szCs w:val="22"/>
              </w:rPr>
            </w:pPr>
            <w:r w:rsidRPr="00370A43">
              <w:rPr>
                <w:rFonts w:cs="Arial"/>
                <w:b/>
                <w:sz w:val="22"/>
                <w:szCs w:val="22"/>
              </w:rPr>
              <w:t>NONE</w:t>
            </w:r>
          </w:p>
        </w:tc>
      </w:tr>
      <w:tr w:rsidR="0045043C" w:rsidRPr="00370A43" w14:paraId="6425AB07" w14:textId="77777777" w:rsidTr="00693DE7">
        <w:tc>
          <w:tcPr>
            <w:tcW w:w="9535" w:type="dxa"/>
            <w:gridSpan w:val="3"/>
            <w:shd w:val="clear" w:color="auto" w:fill="000000" w:themeFill="text1"/>
          </w:tcPr>
          <w:p w14:paraId="39FE1984" w14:textId="77777777" w:rsidR="0045043C" w:rsidRPr="00370A43" w:rsidRDefault="0045043C" w:rsidP="00370A43">
            <w:pPr>
              <w:numPr>
                <w:ilvl w:val="0"/>
                <w:numId w:val="6"/>
              </w:numPr>
              <w:tabs>
                <w:tab w:val="left" w:pos="-1440"/>
              </w:tabs>
              <w:jc w:val="center"/>
              <w:rPr>
                <w:rFonts w:cs="Arial"/>
                <w:b/>
                <w:sz w:val="22"/>
                <w:szCs w:val="22"/>
              </w:rPr>
            </w:pPr>
            <w:r w:rsidRPr="00370A43">
              <w:rPr>
                <w:rFonts w:cs="Arial"/>
                <w:b/>
                <w:sz w:val="22"/>
                <w:szCs w:val="22"/>
              </w:rPr>
              <w:t>The Claim</w:t>
            </w:r>
          </w:p>
        </w:tc>
      </w:tr>
      <w:tr w:rsidR="0045043C" w:rsidRPr="00370A43" w14:paraId="45E6227F" w14:textId="77777777" w:rsidTr="00693DE7">
        <w:tc>
          <w:tcPr>
            <w:tcW w:w="2952" w:type="dxa"/>
          </w:tcPr>
          <w:p w14:paraId="141F0FBA" w14:textId="77777777" w:rsidR="0045043C" w:rsidRPr="00370A43" w:rsidRDefault="0045043C" w:rsidP="00370A43">
            <w:pPr>
              <w:tabs>
                <w:tab w:val="left" w:pos="-1440"/>
              </w:tabs>
              <w:jc w:val="center"/>
              <w:rPr>
                <w:rFonts w:cs="Arial"/>
                <w:b/>
                <w:sz w:val="22"/>
                <w:szCs w:val="22"/>
              </w:rPr>
            </w:pPr>
            <w:r w:rsidRPr="00370A43">
              <w:rPr>
                <w:rFonts w:cs="Arial"/>
                <w:b/>
                <w:sz w:val="22"/>
                <w:szCs w:val="22"/>
              </w:rPr>
              <w:t>Action</w:t>
            </w:r>
          </w:p>
        </w:tc>
        <w:tc>
          <w:tcPr>
            <w:tcW w:w="2952" w:type="dxa"/>
          </w:tcPr>
          <w:p w14:paraId="06AB006E" w14:textId="77777777" w:rsidR="0045043C" w:rsidRPr="00370A43" w:rsidRDefault="0045043C" w:rsidP="00370A43">
            <w:pPr>
              <w:tabs>
                <w:tab w:val="left" w:pos="-1440"/>
              </w:tabs>
              <w:jc w:val="center"/>
              <w:rPr>
                <w:rFonts w:cs="Arial"/>
                <w:b/>
                <w:sz w:val="22"/>
                <w:szCs w:val="22"/>
              </w:rPr>
            </w:pPr>
            <w:r w:rsidRPr="00370A43">
              <w:rPr>
                <w:rFonts w:cs="Arial"/>
                <w:b/>
                <w:sz w:val="22"/>
                <w:szCs w:val="22"/>
              </w:rPr>
              <w:t>Who</w:t>
            </w:r>
          </w:p>
        </w:tc>
        <w:tc>
          <w:tcPr>
            <w:tcW w:w="3631" w:type="dxa"/>
          </w:tcPr>
          <w:p w14:paraId="693C35BA" w14:textId="77777777" w:rsidR="0045043C" w:rsidRPr="00370A43" w:rsidRDefault="0045043C" w:rsidP="00370A43">
            <w:pPr>
              <w:tabs>
                <w:tab w:val="left" w:pos="-1440"/>
              </w:tabs>
              <w:jc w:val="center"/>
              <w:rPr>
                <w:rFonts w:cs="Arial"/>
                <w:b/>
                <w:sz w:val="22"/>
                <w:szCs w:val="22"/>
              </w:rPr>
            </w:pPr>
            <w:r w:rsidRPr="00370A43">
              <w:rPr>
                <w:rFonts w:cs="Arial"/>
                <w:b/>
                <w:sz w:val="22"/>
                <w:szCs w:val="22"/>
              </w:rPr>
              <w:t>When</w:t>
            </w:r>
          </w:p>
        </w:tc>
      </w:tr>
      <w:tr w:rsidR="00303CD4" w:rsidRPr="00370A43" w14:paraId="213DB729" w14:textId="77777777" w:rsidTr="00693DE7">
        <w:tc>
          <w:tcPr>
            <w:tcW w:w="2952" w:type="dxa"/>
          </w:tcPr>
          <w:p w14:paraId="28C63AA1" w14:textId="77777777" w:rsidR="00303CD4" w:rsidRPr="00370A43" w:rsidRDefault="00303CD4" w:rsidP="00370A43">
            <w:pPr>
              <w:pStyle w:val="Heading3"/>
              <w:tabs>
                <w:tab w:val="clear" w:pos="4680"/>
              </w:tabs>
              <w:spacing w:before="60"/>
              <w:jc w:val="left"/>
              <w:rPr>
                <w:rFonts w:cs="Arial"/>
                <w:b w:val="0"/>
                <w:sz w:val="22"/>
                <w:szCs w:val="22"/>
              </w:rPr>
            </w:pPr>
            <w:r w:rsidRPr="00370A43">
              <w:rPr>
                <w:rFonts w:cs="Arial"/>
                <w:sz w:val="22"/>
                <w:szCs w:val="22"/>
              </w:rPr>
              <w:t>Notice of the Claim</w:t>
            </w:r>
            <w:r w:rsidRPr="00370A43">
              <w:rPr>
                <w:rFonts w:cs="Arial"/>
                <w:b w:val="0"/>
                <w:sz w:val="22"/>
                <w:szCs w:val="22"/>
              </w:rPr>
              <w:t xml:space="preserve"> form must </w:t>
            </w:r>
            <w:proofErr w:type="gramStart"/>
            <w:r w:rsidRPr="00370A43">
              <w:rPr>
                <w:rFonts w:cs="Arial"/>
                <w:b w:val="0"/>
                <w:sz w:val="22"/>
                <w:szCs w:val="22"/>
              </w:rPr>
              <w:t>be provided</w:t>
            </w:r>
            <w:proofErr w:type="gramEnd"/>
            <w:r w:rsidRPr="00370A43">
              <w:rPr>
                <w:rFonts w:cs="Arial"/>
                <w:b w:val="0"/>
                <w:sz w:val="22"/>
                <w:szCs w:val="22"/>
              </w:rPr>
              <w:t xml:space="preserve"> by certified or registered mail or be hand delivered to both: (1) the contractor that provided the bond and (2) the contracting agency.</w:t>
            </w:r>
          </w:p>
          <w:p w14:paraId="57C3F9D2" w14:textId="77777777" w:rsidR="00303CD4" w:rsidRPr="00370A43" w:rsidRDefault="00303CD4" w:rsidP="00370A43">
            <w:pPr>
              <w:spacing w:before="60"/>
              <w:rPr>
                <w:rFonts w:cs="Arial"/>
                <w:sz w:val="22"/>
                <w:szCs w:val="22"/>
              </w:rPr>
            </w:pPr>
            <w:r w:rsidRPr="00370A43">
              <w:rPr>
                <w:rFonts w:cs="Arial"/>
                <w:sz w:val="22"/>
                <w:szCs w:val="22"/>
              </w:rPr>
              <w:t>ORS 279C.600 and 279C.605.</w:t>
            </w:r>
          </w:p>
        </w:tc>
        <w:tc>
          <w:tcPr>
            <w:tcW w:w="2952" w:type="dxa"/>
          </w:tcPr>
          <w:p w14:paraId="1453C422" w14:textId="77777777" w:rsidR="00303CD4" w:rsidRPr="00370A43" w:rsidRDefault="00303CD4" w:rsidP="00370A43">
            <w:pPr>
              <w:pStyle w:val="Heading3"/>
              <w:spacing w:before="60"/>
              <w:jc w:val="left"/>
              <w:rPr>
                <w:rFonts w:cs="Arial"/>
                <w:b w:val="0"/>
                <w:sz w:val="22"/>
                <w:szCs w:val="22"/>
              </w:rPr>
            </w:pPr>
            <w:r w:rsidRPr="00370A43">
              <w:rPr>
                <w:rFonts w:cs="Arial"/>
                <w:b w:val="0"/>
                <w:sz w:val="22"/>
                <w:szCs w:val="22"/>
              </w:rPr>
              <w:t>All subcontractors and suppliers on Oregon public works projects.</w:t>
            </w:r>
          </w:p>
        </w:tc>
        <w:tc>
          <w:tcPr>
            <w:tcW w:w="3631" w:type="dxa"/>
          </w:tcPr>
          <w:p w14:paraId="6C9813D5" w14:textId="77777777" w:rsidR="00303CD4" w:rsidRPr="00370A43" w:rsidRDefault="00303CD4" w:rsidP="00370A43">
            <w:pPr>
              <w:spacing w:before="60"/>
              <w:rPr>
                <w:rFonts w:cs="Arial"/>
                <w:sz w:val="22"/>
                <w:szCs w:val="22"/>
              </w:rPr>
            </w:pPr>
            <w:r w:rsidRPr="00370A43">
              <w:rPr>
                <w:rFonts w:cs="Arial"/>
                <w:sz w:val="22"/>
                <w:szCs w:val="22"/>
              </w:rPr>
              <w:t xml:space="preserve">Within 180 days after last provided labor, materials, or rental of equipment. </w:t>
            </w:r>
          </w:p>
        </w:tc>
      </w:tr>
      <w:tr w:rsidR="0045043C" w:rsidRPr="00370A43" w14:paraId="715960BF" w14:textId="77777777" w:rsidTr="00693DE7">
        <w:tc>
          <w:tcPr>
            <w:tcW w:w="9535" w:type="dxa"/>
            <w:gridSpan w:val="3"/>
            <w:shd w:val="clear" w:color="auto" w:fill="000000" w:themeFill="text1"/>
          </w:tcPr>
          <w:p w14:paraId="57A85F35" w14:textId="77777777" w:rsidR="0045043C" w:rsidRPr="00370A43" w:rsidRDefault="00354461" w:rsidP="00370A43">
            <w:pPr>
              <w:numPr>
                <w:ilvl w:val="0"/>
                <w:numId w:val="6"/>
              </w:numPr>
              <w:tabs>
                <w:tab w:val="left" w:pos="-1440"/>
              </w:tabs>
              <w:jc w:val="center"/>
              <w:rPr>
                <w:rFonts w:cs="Arial"/>
                <w:b/>
                <w:sz w:val="22"/>
                <w:szCs w:val="22"/>
              </w:rPr>
            </w:pPr>
            <w:r w:rsidRPr="00370A43">
              <w:rPr>
                <w:rFonts w:cs="Arial"/>
                <w:b/>
                <w:sz w:val="22"/>
                <w:szCs w:val="22"/>
              </w:rPr>
              <w:t>Post-claim Notice</w:t>
            </w:r>
          </w:p>
        </w:tc>
      </w:tr>
      <w:tr w:rsidR="00303CD4" w:rsidRPr="00370A43" w14:paraId="41FF9491" w14:textId="77777777" w:rsidTr="00693DE7">
        <w:tc>
          <w:tcPr>
            <w:tcW w:w="9535" w:type="dxa"/>
            <w:gridSpan w:val="3"/>
          </w:tcPr>
          <w:p w14:paraId="0CE18031" w14:textId="77777777" w:rsidR="00303CD4" w:rsidRPr="00370A43" w:rsidRDefault="00303CD4" w:rsidP="00370A43">
            <w:pPr>
              <w:tabs>
                <w:tab w:val="left" w:pos="-1440"/>
              </w:tabs>
              <w:jc w:val="center"/>
              <w:rPr>
                <w:rFonts w:cs="Arial"/>
                <w:b/>
                <w:sz w:val="22"/>
                <w:szCs w:val="22"/>
              </w:rPr>
            </w:pPr>
            <w:r w:rsidRPr="00370A43">
              <w:rPr>
                <w:rFonts w:cs="Arial"/>
                <w:b/>
                <w:sz w:val="22"/>
                <w:szCs w:val="22"/>
              </w:rPr>
              <w:t>NONE</w:t>
            </w:r>
          </w:p>
        </w:tc>
      </w:tr>
      <w:tr w:rsidR="00354461" w:rsidRPr="00370A43" w14:paraId="08609D11" w14:textId="77777777" w:rsidTr="00693DE7">
        <w:tc>
          <w:tcPr>
            <w:tcW w:w="9535" w:type="dxa"/>
            <w:gridSpan w:val="3"/>
            <w:shd w:val="clear" w:color="auto" w:fill="000000" w:themeFill="text1"/>
          </w:tcPr>
          <w:p w14:paraId="04F3646F" w14:textId="77777777" w:rsidR="00354461" w:rsidRPr="00370A43" w:rsidRDefault="00EF02C7" w:rsidP="00370A43">
            <w:pPr>
              <w:numPr>
                <w:ilvl w:val="0"/>
                <w:numId w:val="6"/>
              </w:numPr>
              <w:tabs>
                <w:tab w:val="left" w:pos="-1440"/>
              </w:tabs>
              <w:jc w:val="center"/>
              <w:rPr>
                <w:rFonts w:cs="Arial"/>
                <w:b/>
                <w:sz w:val="22"/>
                <w:szCs w:val="22"/>
              </w:rPr>
            </w:pPr>
            <w:r w:rsidRPr="00370A43">
              <w:rPr>
                <w:rFonts w:cs="Arial"/>
                <w:b/>
                <w:sz w:val="22"/>
                <w:szCs w:val="22"/>
              </w:rPr>
              <w:t>Action</w:t>
            </w:r>
          </w:p>
        </w:tc>
      </w:tr>
      <w:tr w:rsidR="00EF02C7" w:rsidRPr="00370A43" w14:paraId="4CE44534" w14:textId="77777777" w:rsidTr="00693DE7">
        <w:tc>
          <w:tcPr>
            <w:tcW w:w="2952" w:type="dxa"/>
          </w:tcPr>
          <w:p w14:paraId="7D764520" w14:textId="77777777" w:rsidR="00EF02C7" w:rsidRPr="00370A43" w:rsidRDefault="00EF02C7" w:rsidP="00370A43">
            <w:pPr>
              <w:tabs>
                <w:tab w:val="left" w:pos="-1440"/>
              </w:tabs>
              <w:jc w:val="center"/>
              <w:rPr>
                <w:rFonts w:cs="Arial"/>
                <w:b/>
                <w:sz w:val="22"/>
                <w:szCs w:val="22"/>
              </w:rPr>
            </w:pPr>
            <w:r w:rsidRPr="00370A43">
              <w:rPr>
                <w:rFonts w:cs="Arial"/>
                <w:b/>
                <w:sz w:val="22"/>
                <w:szCs w:val="22"/>
              </w:rPr>
              <w:t>Action</w:t>
            </w:r>
          </w:p>
        </w:tc>
        <w:tc>
          <w:tcPr>
            <w:tcW w:w="2952" w:type="dxa"/>
          </w:tcPr>
          <w:p w14:paraId="3D46E66B" w14:textId="77777777" w:rsidR="00EF02C7" w:rsidRPr="00370A43" w:rsidRDefault="00EF02C7" w:rsidP="00370A43">
            <w:pPr>
              <w:tabs>
                <w:tab w:val="left" w:pos="-1440"/>
              </w:tabs>
              <w:jc w:val="center"/>
              <w:rPr>
                <w:rFonts w:cs="Arial"/>
                <w:b/>
                <w:sz w:val="22"/>
                <w:szCs w:val="22"/>
              </w:rPr>
            </w:pPr>
            <w:r w:rsidRPr="00370A43">
              <w:rPr>
                <w:rFonts w:cs="Arial"/>
                <w:b/>
                <w:sz w:val="22"/>
                <w:szCs w:val="22"/>
              </w:rPr>
              <w:t>Who</w:t>
            </w:r>
          </w:p>
        </w:tc>
        <w:tc>
          <w:tcPr>
            <w:tcW w:w="3631" w:type="dxa"/>
          </w:tcPr>
          <w:p w14:paraId="64027235" w14:textId="77777777" w:rsidR="00EF02C7" w:rsidRPr="00370A43" w:rsidRDefault="00EF02C7" w:rsidP="00370A43">
            <w:pPr>
              <w:tabs>
                <w:tab w:val="left" w:pos="-1440"/>
              </w:tabs>
              <w:jc w:val="center"/>
              <w:rPr>
                <w:rFonts w:cs="Arial"/>
                <w:b/>
                <w:sz w:val="22"/>
                <w:szCs w:val="22"/>
              </w:rPr>
            </w:pPr>
            <w:r w:rsidRPr="00370A43">
              <w:rPr>
                <w:rFonts w:cs="Arial"/>
                <w:b/>
                <w:sz w:val="22"/>
                <w:szCs w:val="22"/>
              </w:rPr>
              <w:t>When</w:t>
            </w:r>
          </w:p>
        </w:tc>
      </w:tr>
      <w:tr w:rsidR="002265AA" w:rsidRPr="00370A43" w14:paraId="1FD0ED1C" w14:textId="77777777" w:rsidTr="00693DE7">
        <w:tc>
          <w:tcPr>
            <w:tcW w:w="2952" w:type="dxa"/>
          </w:tcPr>
          <w:p w14:paraId="623FE335" w14:textId="0218852E" w:rsidR="002265AA" w:rsidRPr="00370A43" w:rsidRDefault="002265AA" w:rsidP="00370A43">
            <w:pPr>
              <w:pStyle w:val="Style1"/>
              <w:spacing w:before="60"/>
              <w:jc w:val="left"/>
              <w:rPr>
                <w:rFonts w:cs="Arial"/>
                <w:sz w:val="22"/>
                <w:szCs w:val="22"/>
              </w:rPr>
            </w:pPr>
            <w:r w:rsidRPr="00370A43">
              <w:rPr>
                <w:rFonts w:cs="Arial"/>
                <w:b/>
                <w:sz w:val="22"/>
                <w:szCs w:val="22"/>
              </w:rPr>
              <w:t>File lawsuit</w:t>
            </w:r>
            <w:r w:rsidRPr="00370A43">
              <w:rPr>
                <w:rFonts w:cs="Arial"/>
                <w:sz w:val="22"/>
                <w:szCs w:val="22"/>
              </w:rPr>
              <w:t xml:space="preserve"> to foreclose Claim.</w:t>
            </w:r>
            <w:r w:rsidR="00370A43">
              <w:rPr>
                <w:rFonts w:cs="Arial"/>
                <w:sz w:val="22"/>
                <w:szCs w:val="22"/>
              </w:rPr>
              <w:t xml:space="preserve"> </w:t>
            </w:r>
            <w:r w:rsidRPr="00370A43">
              <w:rPr>
                <w:rFonts w:cs="Arial"/>
                <w:sz w:val="22"/>
                <w:szCs w:val="22"/>
              </w:rPr>
              <w:t>ORS 279C.610.</w:t>
            </w:r>
          </w:p>
        </w:tc>
        <w:tc>
          <w:tcPr>
            <w:tcW w:w="2952" w:type="dxa"/>
          </w:tcPr>
          <w:p w14:paraId="47FC60AA" w14:textId="77777777" w:rsidR="002265AA" w:rsidRPr="00370A43" w:rsidRDefault="002265AA" w:rsidP="00370A43">
            <w:pPr>
              <w:pStyle w:val="Heading3"/>
              <w:spacing w:before="60"/>
              <w:jc w:val="left"/>
              <w:rPr>
                <w:rFonts w:cs="Arial"/>
                <w:b w:val="0"/>
                <w:sz w:val="22"/>
                <w:szCs w:val="22"/>
              </w:rPr>
            </w:pPr>
            <w:r w:rsidRPr="00370A43">
              <w:rPr>
                <w:rFonts w:cs="Arial"/>
                <w:b w:val="0"/>
                <w:sz w:val="22"/>
                <w:szCs w:val="22"/>
              </w:rPr>
              <w:t>All Claimants.</w:t>
            </w:r>
          </w:p>
        </w:tc>
        <w:tc>
          <w:tcPr>
            <w:tcW w:w="3631" w:type="dxa"/>
          </w:tcPr>
          <w:p w14:paraId="38152FA0" w14:textId="77777777" w:rsidR="002265AA" w:rsidRPr="00370A43" w:rsidRDefault="002265AA" w:rsidP="00370A43">
            <w:pPr>
              <w:pStyle w:val="Heading3"/>
              <w:spacing w:before="60"/>
              <w:jc w:val="left"/>
              <w:rPr>
                <w:rFonts w:cs="Arial"/>
                <w:b w:val="0"/>
                <w:sz w:val="22"/>
                <w:szCs w:val="22"/>
              </w:rPr>
            </w:pPr>
            <w:r w:rsidRPr="00370A43">
              <w:rPr>
                <w:rFonts w:cs="Arial"/>
                <w:b w:val="0"/>
                <w:sz w:val="22"/>
                <w:szCs w:val="22"/>
              </w:rPr>
              <w:t>No later than 2 years after claimant last provided labor, delivery of materials, or rental of equipment. Not based on the notice of claim date.</w:t>
            </w:r>
          </w:p>
        </w:tc>
      </w:tr>
    </w:tbl>
    <w:p w14:paraId="2D2518CD" w14:textId="77777777" w:rsidR="00B673FE" w:rsidRPr="00370A43" w:rsidRDefault="00B673FE" w:rsidP="00370A43">
      <w:pPr>
        <w:tabs>
          <w:tab w:val="left" w:pos="-1440"/>
        </w:tabs>
        <w:rPr>
          <w:rFonts w:cs="Arial"/>
          <w:sz w:val="22"/>
          <w:szCs w:val="22"/>
        </w:rPr>
      </w:pPr>
    </w:p>
    <w:p w14:paraId="03352AD9" w14:textId="77777777" w:rsidR="00E0194D" w:rsidRPr="00370A43" w:rsidRDefault="00E0194D" w:rsidP="00370A43">
      <w:pPr>
        <w:pStyle w:val="Heading3"/>
        <w:jc w:val="left"/>
        <w:rPr>
          <w:rFonts w:cs="Arial"/>
          <w:sz w:val="22"/>
          <w:szCs w:val="22"/>
        </w:rPr>
      </w:pPr>
      <w:r w:rsidRPr="00370A43">
        <w:rPr>
          <w:rFonts w:cs="Arial"/>
          <w:sz w:val="22"/>
          <w:szCs w:val="22"/>
        </w:rPr>
        <w:t>Oregon Notes</w:t>
      </w:r>
      <w:r w:rsidRPr="00370A43">
        <w:rPr>
          <w:rFonts w:cs="Arial"/>
          <w:b w:val="0"/>
          <w:sz w:val="22"/>
          <w:szCs w:val="22"/>
        </w:rPr>
        <w:t xml:space="preserve"> (</w:t>
      </w:r>
      <w:proofErr w:type="gramStart"/>
      <w:r w:rsidRPr="00370A43">
        <w:rPr>
          <w:rFonts w:cs="Arial"/>
          <w:b w:val="0"/>
          <w:sz w:val="22"/>
          <w:szCs w:val="22"/>
        </w:rPr>
        <w:t>see also</w:t>
      </w:r>
      <w:proofErr w:type="gramEnd"/>
      <w:r w:rsidRPr="00370A43">
        <w:rPr>
          <w:rFonts w:cs="Arial"/>
          <w:b w:val="0"/>
          <w:sz w:val="22"/>
          <w:szCs w:val="22"/>
        </w:rPr>
        <w:t xml:space="preserve"> Federal Notes):</w:t>
      </w:r>
      <w:r w:rsidRPr="00370A43">
        <w:rPr>
          <w:rFonts w:cs="Arial"/>
          <w:sz w:val="22"/>
          <w:szCs w:val="22"/>
        </w:rPr>
        <w:t xml:space="preserve"> </w:t>
      </w:r>
    </w:p>
    <w:p w14:paraId="29B9670E" w14:textId="77777777" w:rsidR="00E0194D" w:rsidRPr="00370A43" w:rsidRDefault="00E0194D" w:rsidP="00370A43">
      <w:pPr>
        <w:rPr>
          <w:rFonts w:cs="Arial"/>
          <w:sz w:val="22"/>
          <w:szCs w:val="22"/>
        </w:rPr>
      </w:pPr>
    </w:p>
    <w:p w14:paraId="48B33B9C" w14:textId="77777777" w:rsidR="00E0194D" w:rsidRPr="00370A43" w:rsidRDefault="00E0194D" w:rsidP="00370A43">
      <w:pPr>
        <w:tabs>
          <w:tab w:val="left" w:pos="-1440"/>
        </w:tabs>
        <w:ind w:left="720" w:hanging="720"/>
        <w:rPr>
          <w:rFonts w:cs="Arial"/>
          <w:sz w:val="22"/>
          <w:szCs w:val="22"/>
        </w:rPr>
      </w:pPr>
      <w:r w:rsidRPr="00370A43">
        <w:rPr>
          <w:rFonts w:cs="Arial"/>
          <w:sz w:val="22"/>
          <w:szCs w:val="22"/>
        </w:rPr>
        <w:t>1.</w:t>
      </w:r>
      <w:r w:rsidRPr="00370A43">
        <w:rPr>
          <w:rFonts w:cs="Arial"/>
          <w:sz w:val="22"/>
          <w:szCs w:val="22"/>
        </w:rPr>
        <w:tab/>
        <w:t xml:space="preserve">The Oregon Little Miller Act does not specify who at the contracting agency is supposed to receive the notice. While some state agencies historically have adopted specific administrative rules to specify exactly who should receive the notice, legislative history suggests that it is incumbent upon the contracting agency to route the notice to the </w:t>
      </w:r>
      <w:proofErr w:type="gramStart"/>
      <w:r w:rsidRPr="00370A43">
        <w:rPr>
          <w:rFonts w:cs="Arial"/>
          <w:sz w:val="22"/>
          <w:szCs w:val="22"/>
        </w:rPr>
        <w:t>appropriate person</w:t>
      </w:r>
      <w:proofErr w:type="gramEnd"/>
      <w:r w:rsidRPr="00370A43">
        <w:rPr>
          <w:rFonts w:cs="Arial"/>
          <w:sz w:val="22"/>
          <w:szCs w:val="22"/>
        </w:rPr>
        <w:t xml:space="preserve"> after it </w:t>
      </w:r>
      <w:proofErr w:type="gramStart"/>
      <w:r w:rsidRPr="00370A43">
        <w:rPr>
          <w:rFonts w:cs="Arial"/>
          <w:sz w:val="22"/>
          <w:szCs w:val="22"/>
        </w:rPr>
        <w:t>is received</w:t>
      </w:r>
      <w:proofErr w:type="gramEnd"/>
      <w:r w:rsidRPr="00370A43">
        <w:rPr>
          <w:rFonts w:cs="Arial"/>
          <w:sz w:val="22"/>
          <w:szCs w:val="22"/>
        </w:rPr>
        <w:t xml:space="preserve">. To avoid any question on this issue, claimants should consider sending separate notices to: (1) The contracting agency that let the contract (CAUTION! This might not be the same agency for whom the work is </w:t>
      </w:r>
      <w:proofErr w:type="gramStart"/>
      <w:r w:rsidRPr="00370A43">
        <w:rPr>
          <w:rFonts w:cs="Arial"/>
          <w:sz w:val="22"/>
          <w:szCs w:val="22"/>
        </w:rPr>
        <w:t>being performed</w:t>
      </w:r>
      <w:proofErr w:type="gramEnd"/>
      <w:r w:rsidRPr="00370A43">
        <w:rPr>
          <w:rFonts w:cs="Arial"/>
          <w:sz w:val="22"/>
          <w:szCs w:val="22"/>
        </w:rPr>
        <w:t>.); (2) The contracting agency c/o the project manager; and (3) The contracting agency c/o the agency’s clerk, auditor, director, or manager.</w:t>
      </w:r>
    </w:p>
    <w:p w14:paraId="1F02B102" w14:textId="77777777" w:rsidR="00E0194D" w:rsidRPr="00370A43" w:rsidRDefault="00E0194D" w:rsidP="00370A43">
      <w:pPr>
        <w:rPr>
          <w:rFonts w:cs="Arial"/>
          <w:sz w:val="22"/>
          <w:szCs w:val="22"/>
        </w:rPr>
      </w:pPr>
    </w:p>
    <w:p w14:paraId="454D4B54" w14:textId="77777777" w:rsidR="00E0194D" w:rsidRPr="00370A43" w:rsidRDefault="00E0194D" w:rsidP="00370A43">
      <w:pPr>
        <w:tabs>
          <w:tab w:val="left" w:pos="-1440"/>
        </w:tabs>
        <w:ind w:left="720" w:hanging="720"/>
        <w:rPr>
          <w:rFonts w:cs="Arial"/>
          <w:sz w:val="22"/>
          <w:szCs w:val="22"/>
        </w:rPr>
      </w:pPr>
      <w:r w:rsidRPr="00370A43">
        <w:rPr>
          <w:rFonts w:cs="Arial"/>
          <w:sz w:val="22"/>
          <w:szCs w:val="22"/>
        </w:rPr>
        <w:t>2.</w:t>
      </w:r>
      <w:r w:rsidRPr="00370A43">
        <w:rPr>
          <w:rFonts w:cs="Arial"/>
          <w:sz w:val="22"/>
          <w:szCs w:val="22"/>
        </w:rPr>
        <w:tab/>
        <w:t xml:space="preserve">You should make certain that notice is </w:t>
      </w:r>
      <w:proofErr w:type="gramStart"/>
      <w:r w:rsidRPr="00370A43">
        <w:rPr>
          <w:rFonts w:cs="Arial"/>
          <w:sz w:val="22"/>
          <w:szCs w:val="22"/>
        </w:rPr>
        <w:t>actually received</w:t>
      </w:r>
      <w:proofErr w:type="gramEnd"/>
      <w:r w:rsidRPr="00370A43">
        <w:rPr>
          <w:rFonts w:cs="Arial"/>
          <w:sz w:val="22"/>
          <w:szCs w:val="22"/>
        </w:rPr>
        <w:t xml:space="preserve"> before the </w:t>
      </w:r>
      <w:proofErr w:type="gramStart"/>
      <w:r w:rsidRPr="00370A43">
        <w:rPr>
          <w:rFonts w:cs="Arial"/>
          <w:sz w:val="22"/>
          <w:szCs w:val="22"/>
        </w:rPr>
        <w:t>time period</w:t>
      </w:r>
      <w:proofErr w:type="gramEnd"/>
      <w:r w:rsidRPr="00370A43">
        <w:rPr>
          <w:rFonts w:cs="Arial"/>
          <w:sz w:val="22"/>
          <w:szCs w:val="22"/>
        </w:rPr>
        <w:t xml:space="preserve"> expires. The </w:t>
      </w:r>
      <w:proofErr w:type="gramStart"/>
      <w:r w:rsidRPr="00370A43">
        <w:rPr>
          <w:rFonts w:cs="Arial"/>
          <w:sz w:val="22"/>
          <w:szCs w:val="22"/>
        </w:rPr>
        <w:t>time period</w:t>
      </w:r>
      <w:proofErr w:type="gramEnd"/>
      <w:r w:rsidRPr="00370A43">
        <w:rPr>
          <w:rFonts w:cs="Arial"/>
          <w:sz w:val="22"/>
          <w:szCs w:val="22"/>
        </w:rPr>
        <w:t xml:space="preserve"> may not </w:t>
      </w:r>
      <w:proofErr w:type="gramStart"/>
      <w:r w:rsidRPr="00370A43">
        <w:rPr>
          <w:rFonts w:cs="Arial"/>
          <w:sz w:val="22"/>
          <w:szCs w:val="22"/>
        </w:rPr>
        <w:t>be extended</w:t>
      </w:r>
      <w:proofErr w:type="gramEnd"/>
      <w:r w:rsidRPr="00370A43">
        <w:rPr>
          <w:rFonts w:cs="Arial"/>
          <w:sz w:val="22"/>
          <w:szCs w:val="22"/>
        </w:rPr>
        <w:t xml:space="preserve"> if the last day falls on a Saturday, Sunday, or </w:t>
      </w:r>
      <w:proofErr w:type="gramStart"/>
      <w:r w:rsidRPr="00370A43">
        <w:rPr>
          <w:rFonts w:cs="Arial"/>
          <w:sz w:val="22"/>
          <w:szCs w:val="22"/>
        </w:rPr>
        <w:t>other</w:t>
      </w:r>
      <w:proofErr w:type="gramEnd"/>
      <w:r w:rsidRPr="00370A43">
        <w:rPr>
          <w:rFonts w:cs="Arial"/>
          <w:sz w:val="22"/>
          <w:szCs w:val="22"/>
        </w:rPr>
        <w:t xml:space="preserve"> </w:t>
      </w:r>
      <w:r w:rsidRPr="00370A43">
        <w:rPr>
          <w:rFonts w:cs="Arial"/>
          <w:sz w:val="22"/>
          <w:szCs w:val="22"/>
        </w:rPr>
        <w:lastRenderedPageBreak/>
        <w:t xml:space="preserve">legal holiday. Consider using a “substantial” last day of performance for purposes of calculating the deadline for giving notice and filing suit. Confirm such date used for calculating deadlines can be </w:t>
      </w:r>
      <w:proofErr w:type="gramStart"/>
      <w:r w:rsidRPr="00370A43">
        <w:rPr>
          <w:rFonts w:cs="Arial"/>
          <w:sz w:val="22"/>
          <w:szCs w:val="22"/>
        </w:rPr>
        <w:t>established</w:t>
      </w:r>
      <w:proofErr w:type="gramEnd"/>
      <w:r w:rsidRPr="00370A43">
        <w:rPr>
          <w:rFonts w:cs="Arial"/>
          <w:sz w:val="22"/>
          <w:szCs w:val="22"/>
        </w:rPr>
        <w:t xml:space="preserve"> through claimant’s records (e.g., a “will call” delivery typically means a delivery by a supplier at its place of business, not a delivery at the project site). Also, account for holidays, office closures, and other challenges to </w:t>
      </w:r>
      <w:proofErr w:type="gramStart"/>
      <w:r w:rsidRPr="00370A43">
        <w:rPr>
          <w:rFonts w:cs="Arial"/>
          <w:sz w:val="22"/>
          <w:szCs w:val="22"/>
        </w:rPr>
        <w:t>delivery of</w:t>
      </w:r>
      <w:proofErr w:type="gramEnd"/>
      <w:r w:rsidRPr="00370A43">
        <w:rPr>
          <w:rFonts w:cs="Arial"/>
          <w:sz w:val="22"/>
          <w:szCs w:val="22"/>
        </w:rPr>
        <w:t xml:space="preserve"> notices (e.g., weather). </w:t>
      </w:r>
    </w:p>
    <w:p w14:paraId="414FB8CC" w14:textId="77777777" w:rsidR="00E0194D" w:rsidRPr="00370A43" w:rsidRDefault="00E0194D" w:rsidP="00370A43">
      <w:pPr>
        <w:rPr>
          <w:rFonts w:cs="Arial"/>
          <w:sz w:val="22"/>
          <w:szCs w:val="22"/>
        </w:rPr>
      </w:pPr>
    </w:p>
    <w:p w14:paraId="2A713770" w14:textId="041A41BF" w:rsidR="00E0194D" w:rsidRPr="00370A43" w:rsidRDefault="00E0194D" w:rsidP="00370A43">
      <w:pPr>
        <w:tabs>
          <w:tab w:val="left" w:pos="-1440"/>
        </w:tabs>
        <w:ind w:left="720" w:hanging="720"/>
        <w:rPr>
          <w:rFonts w:cs="Arial"/>
          <w:sz w:val="22"/>
          <w:szCs w:val="22"/>
        </w:rPr>
      </w:pPr>
      <w:r w:rsidRPr="00370A43">
        <w:rPr>
          <w:rFonts w:cs="Arial"/>
          <w:sz w:val="22"/>
          <w:szCs w:val="22"/>
        </w:rPr>
        <w:t>3.</w:t>
      </w:r>
      <w:r w:rsidRPr="00370A43">
        <w:rPr>
          <w:rFonts w:cs="Arial"/>
          <w:sz w:val="22"/>
          <w:szCs w:val="22"/>
        </w:rPr>
        <w:tab/>
        <w:t xml:space="preserve">You should also consider giving notice directly to the surety (the bonding company) </w:t>
      </w:r>
      <w:r w:rsidR="00BB0F7D">
        <w:rPr>
          <w:rFonts w:cs="Arial"/>
          <w:sz w:val="22"/>
          <w:szCs w:val="22"/>
        </w:rPr>
        <w:t>because</w:t>
      </w:r>
      <w:r w:rsidR="00BB0F7D" w:rsidRPr="00370A43">
        <w:rPr>
          <w:rFonts w:cs="Arial"/>
          <w:sz w:val="22"/>
          <w:szCs w:val="22"/>
        </w:rPr>
        <w:t xml:space="preserve"> </w:t>
      </w:r>
      <w:r w:rsidRPr="00370A43">
        <w:rPr>
          <w:rFonts w:cs="Arial"/>
          <w:sz w:val="22"/>
          <w:szCs w:val="22"/>
        </w:rPr>
        <w:t xml:space="preserve">this may </w:t>
      </w:r>
      <w:proofErr w:type="gramStart"/>
      <w:r w:rsidRPr="00370A43">
        <w:rPr>
          <w:rFonts w:cs="Arial"/>
          <w:sz w:val="22"/>
          <w:szCs w:val="22"/>
        </w:rPr>
        <w:t>expedite</w:t>
      </w:r>
      <w:proofErr w:type="gramEnd"/>
      <w:r w:rsidRPr="00370A43">
        <w:rPr>
          <w:rFonts w:cs="Arial"/>
          <w:sz w:val="22"/>
          <w:szCs w:val="22"/>
        </w:rPr>
        <w:t xml:space="preserve"> payment and </w:t>
      </w:r>
      <w:proofErr w:type="gramStart"/>
      <w:r w:rsidRPr="00370A43">
        <w:rPr>
          <w:rFonts w:cs="Arial"/>
          <w:sz w:val="22"/>
          <w:szCs w:val="22"/>
        </w:rPr>
        <w:t>commence</w:t>
      </w:r>
      <w:proofErr w:type="gramEnd"/>
      <w:r w:rsidRPr="00370A43">
        <w:rPr>
          <w:rFonts w:cs="Arial"/>
          <w:sz w:val="22"/>
          <w:szCs w:val="22"/>
        </w:rPr>
        <w:t xml:space="preserve"> the six-month </w:t>
      </w:r>
      <w:proofErr w:type="gramStart"/>
      <w:r w:rsidRPr="00370A43">
        <w:rPr>
          <w:rFonts w:cs="Arial"/>
          <w:sz w:val="22"/>
          <w:szCs w:val="22"/>
        </w:rPr>
        <w:t>time period</w:t>
      </w:r>
      <w:proofErr w:type="gramEnd"/>
      <w:r w:rsidRPr="00370A43">
        <w:rPr>
          <w:rFonts w:cs="Arial"/>
          <w:sz w:val="22"/>
          <w:szCs w:val="22"/>
        </w:rPr>
        <w:t xml:space="preserve"> for the recovery of attorney fees against the surety under ORS 742.061.  Consider whether to provide </w:t>
      </w:r>
      <w:proofErr w:type="gramStart"/>
      <w:r w:rsidRPr="00370A43">
        <w:rPr>
          <w:rFonts w:cs="Arial"/>
          <w:sz w:val="22"/>
          <w:szCs w:val="22"/>
        </w:rPr>
        <w:t>additional</w:t>
      </w:r>
      <w:proofErr w:type="gramEnd"/>
      <w:r w:rsidRPr="00370A43">
        <w:rPr>
          <w:rFonts w:cs="Arial"/>
          <w:sz w:val="22"/>
          <w:szCs w:val="22"/>
        </w:rPr>
        <w:t xml:space="preserve"> information requested by surety to satisfy “proof of loss” requirement under ORS 742.061.</w:t>
      </w:r>
    </w:p>
    <w:p w14:paraId="5468888C" w14:textId="77777777" w:rsidR="00E0194D" w:rsidRPr="00370A43" w:rsidRDefault="00E0194D" w:rsidP="00370A43">
      <w:pPr>
        <w:rPr>
          <w:rFonts w:cs="Arial"/>
          <w:sz w:val="22"/>
          <w:szCs w:val="22"/>
        </w:rPr>
      </w:pPr>
    </w:p>
    <w:p w14:paraId="494B39ED" w14:textId="77777777" w:rsidR="00E0194D" w:rsidRPr="00370A43" w:rsidRDefault="00E0194D" w:rsidP="00370A43">
      <w:pPr>
        <w:rPr>
          <w:rFonts w:cs="Arial"/>
          <w:sz w:val="22"/>
          <w:szCs w:val="22"/>
        </w:rPr>
      </w:pPr>
      <w:r w:rsidRPr="00370A43">
        <w:rPr>
          <w:rFonts w:cs="Arial"/>
          <w:sz w:val="22"/>
          <w:szCs w:val="22"/>
        </w:rPr>
        <w:t>4.</w:t>
      </w:r>
      <w:r w:rsidRPr="00370A43">
        <w:rPr>
          <w:rFonts w:cs="Arial"/>
          <w:sz w:val="22"/>
          <w:szCs w:val="22"/>
        </w:rPr>
        <w:tab/>
        <w:t xml:space="preserve">Claimants must make certain that notices </w:t>
      </w:r>
      <w:proofErr w:type="gramStart"/>
      <w:r w:rsidRPr="00370A43">
        <w:rPr>
          <w:rFonts w:cs="Arial"/>
          <w:sz w:val="22"/>
          <w:szCs w:val="22"/>
        </w:rPr>
        <w:t>are provided</w:t>
      </w:r>
      <w:proofErr w:type="gramEnd"/>
      <w:r w:rsidRPr="00370A43">
        <w:rPr>
          <w:rFonts w:cs="Arial"/>
          <w:sz w:val="22"/>
          <w:szCs w:val="22"/>
        </w:rPr>
        <w:t xml:space="preserve"> to at least two parties:</w:t>
      </w:r>
    </w:p>
    <w:p w14:paraId="65FA157B" w14:textId="77777777" w:rsidR="00E0194D" w:rsidRPr="00370A43" w:rsidRDefault="00E0194D" w:rsidP="00370A43">
      <w:pPr>
        <w:ind w:left="720"/>
        <w:rPr>
          <w:rFonts w:cs="Arial"/>
          <w:sz w:val="22"/>
          <w:szCs w:val="22"/>
        </w:rPr>
      </w:pPr>
      <w:r w:rsidRPr="00370A43">
        <w:rPr>
          <w:rFonts w:cs="Arial"/>
          <w:sz w:val="22"/>
          <w:szCs w:val="22"/>
        </w:rPr>
        <w:t>a. The contracting agency that let the contract; and</w:t>
      </w:r>
    </w:p>
    <w:p w14:paraId="46170E76" w14:textId="77777777" w:rsidR="00E0194D" w:rsidRPr="00370A43" w:rsidRDefault="00E0194D" w:rsidP="00370A43">
      <w:pPr>
        <w:ind w:firstLine="720"/>
        <w:rPr>
          <w:rFonts w:cs="Arial"/>
          <w:sz w:val="22"/>
          <w:szCs w:val="22"/>
        </w:rPr>
      </w:pPr>
      <w:r w:rsidRPr="00370A43">
        <w:rPr>
          <w:rFonts w:cs="Arial"/>
          <w:sz w:val="22"/>
          <w:szCs w:val="22"/>
        </w:rPr>
        <w:t xml:space="preserve">b. The contractor who </w:t>
      </w:r>
      <w:proofErr w:type="gramStart"/>
      <w:r w:rsidRPr="00370A43">
        <w:rPr>
          <w:rFonts w:cs="Arial"/>
          <w:sz w:val="22"/>
          <w:szCs w:val="22"/>
        </w:rPr>
        <w:t>furnished</w:t>
      </w:r>
      <w:proofErr w:type="gramEnd"/>
      <w:r w:rsidRPr="00370A43">
        <w:rPr>
          <w:rFonts w:cs="Arial"/>
          <w:sz w:val="22"/>
          <w:szCs w:val="22"/>
        </w:rPr>
        <w:t xml:space="preserve"> the bond.</w:t>
      </w:r>
    </w:p>
    <w:p w14:paraId="7D92AB97" w14:textId="77777777" w:rsidR="00E0194D" w:rsidRPr="00370A43" w:rsidRDefault="00E0194D" w:rsidP="00370A43">
      <w:pPr>
        <w:rPr>
          <w:rFonts w:cs="Arial"/>
          <w:sz w:val="22"/>
          <w:szCs w:val="22"/>
        </w:rPr>
      </w:pPr>
    </w:p>
    <w:p w14:paraId="7ECDC12E" w14:textId="34E8639B" w:rsidR="00E0194D" w:rsidRPr="00370A43" w:rsidRDefault="00E0194D" w:rsidP="00370A43">
      <w:pPr>
        <w:ind w:left="720" w:hanging="720"/>
        <w:rPr>
          <w:rFonts w:cs="Arial"/>
          <w:sz w:val="22"/>
          <w:szCs w:val="22"/>
        </w:rPr>
      </w:pPr>
      <w:r w:rsidRPr="00370A43">
        <w:rPr>
          <w:rFonts w:cs="Arial"/>
          <w:sz w:val="22"/>
          <w:szCs w:val="22"/>
        </w:rPr>
        <w:t>5.</w:t>
      </w:r>
      <w:r w:rsidRPr="00370A43">
        <w:rPr>
          <w:rFonts w:cs="Arial"/>
          <w:sz w:val="22"/>
          <w:szCs w:val="22"/>
        </w:rPr>
        <w:tab/>
        <w:t xml:space="preserve">You should confirm that the contracting agency did not exempt the project from the requirements for a bond and that, if a bond was </w:t>
      </w:r>
      <w:proofErr w:type="gramStart"/>
      <w:r w:rsidRPr="00370A43">
        <w:rPr>
          <w:rFonts w:cs="Arial"/>
          <w:sz w:val="22"/>
          <w:szCs w:val="22"/>
        </w:rPr>
        <w:t>required</w:t>
      </w:r>
      <w:proofErr w:type="gramEnd"/>
      <w:r w:rsidRPr="00370A43">
        <w:rPr>
          <w:rFonts w:cs="Arial"/>
          <w:sz w:val="22"/>
          <w:szCs w:val="22"/>
        </w:rPr>
        <w:t xml:space="preserve">, it was the </w:t>
      </w:r>
      <w:r w:rsidR="00BB0F7D">
        <w:rPr>
          <w:rFonts w:cs="Arial"/>
          <w:sz w:val="22"/>
          <w:szCs w:val="22"/>
        </w:rPr>
        <w:t>correct form of</w:t>
      </w:r>
      <w:r w:rsidR="00BB0F7D" w:rsidRPr="00370A43">
        <w:rPr>
          <w:rFonts w:cs="Arial"/>
          <w:sz w:val="22"/>
          <w:szCs w:val="22"/>
        </w:rPr>
        <w:t xml:space="preserve"> </w:t>
      </w:r>
      <w:r w:rsidRPr="00370A43">
        <w:rPr>
          <w:rFonts w:cs="Arial"/>
          <w:sz w:val="22"/>
          <w:szCs w:val="22"/>
        </w:rPr>
        <w:t xml:space="preserve">bond. (For example, the contracting agency for some reason may have </w:t>
      </w:r>
      <w:proofErr w:type="gramStart"/>
      <w:r w:rsidRPr="00370A43">
        <w:rPr>
          <w:rFonts w:cs="Arial"/>
          <w:sz w:val="22"/>
          <w:szCs w:val="22"/>
        </w:rPr>
        <w:t>required</w:t>
      </w:r>
      <w:proofErr w:type="gramEnd"/>
      <w:r w:rsidRPr="00370A43">
        <w:rPr>
          <w:rFonts w:cs="Arial"/>
          <w:sz w:val="22"/>
          <w:szCs w:val="22"/>
        </w:rPr>
        <w:t xml:space="preserve"> a bond form </w:t>
      </w:r>
      <w:proofErr w:type="gramStart"/>
      <w:r w:rsidRPr="00370A43">
        <w:rPr>
          <w:rFonts w:cs="Arial"/>
          <w:sz w:val="22"/>
          <w:szCs w:val="22"/>
        </w:rPr>
        <w:t>similar to</w:t>
      </w:r>
      <w:proofErr w:type="gramEnd"/>
      <w:r w:rsidRPr="00370A43">
        <w:rPr>
          <w:rFonts w:cs="Arial"/>
          <w:sz w:val="22"/>
          <w:szCs w:val="22"/>
        </w:rPr>
        <w:t xml:space="preserve"> the federal requirements, which are different from the state requirements). See ORS 279C.625 for potential liability of the public body if it </w:t>
      </w:r>
      <w:proofErr w:type="gramStart"/>
      <w:r w:rsidRPr="00370A43">
        <w:rPr>
          <w:rFonts w:cs="Arial"/>
          <w:sz w:val="22"/>
          <w:szCs w:val="22"/>
        </w:rPr>
        <w:t>did</w:t>
      </w:r>
      <w:proofErr w:type="gramEnd"/>
      <w:r w:rsidRPr="00370A43">
        <w:rPr>
          <w:rFonts w:cs="Arial"/>
          <w:sz w:val="22"/>
          <w:szCs w:val="22"/>
        </w:rPr>
        <w:t xml:space="preserve"> not require a bond when necessary. See also OSB CLE CONSTRUCTION LAW (2019 Edition) CHAPTER 10, THE SURETY RELATIONSHIP AND PAYMENT AND PERFORMANCE BONDS</w:t>
      </w:r>
      <w:r w:rsidR="00AD435C" w:rsidRPr="00370A43">
        <w:rPr>
          <w:rFonts w:cs="Arial"/>
          <w:sz w:val="22"/>
          <w:szCs w:val="22"/>
        </w:rPr>
        <w:t xml:space="preserve"> §10.2-4(b)</w:t>
      </w:r>
      <w:r w:rsidR="00AD435C" w:rsidRPr="00370A43">
        <w:rPr>
          <w:rFonts w:cs="Arial"/>
          <w:smallCaps/>
          <w:sz w:val="22"/>
          <w:szCs w:val="22"/>
        </w:rPr>
        <w:t xml:space="preserve">. </w:t>
      </w:r>
      <w:r w:rsidRPr="00370A43">
        <w:rPr>
          <w:rFonts w:cs="Arial"/>
          <w:sz w:val="22"/>
          <w:szCs w:val="22"/>
        </w:rPr>
        <w:t xml:space="preserve"> (a surety may not </w:t>
      </w:r>
      <w:proofErr w:type="gramStart"/>
      <w:r w:rsidRPr="00370A43">
        <w:rPr>
          <w:rFonts w:cs="Arial"/>
          <w:sz w:val="22"/>
          <w:szCs w:val="22"/>
        </w:rPr>
        <w:t>be entitled</w:t>
      </w:r>
      <w:proofErr w:type="gramEnd"/>
      <w:r w:rsidRPr="00370A43">
        <w:rPr>
          <w:rFonts w:cs="Arial"/>
          <w:sz w:val="22"/>
          <w:szCs w:val="22"/>
        </w:rPr>
        <w:t xml:space="preserve"> to rely on more restrictive requirements than statute requiring bond). See also ORS 742.370 (Bonds construed as including omitted statutory provisions).</w:t>
      </w:r>
      <w:r w:rsidR="00BB0F7D">
        <w:rPr>
          <w:rFonts w:cs="Arial"/>
          <w:sz w:val="22"/>
          <w:szCs w:val="22"/>
        </w:rPr>
        <w:t xml:space="preserve">  Some bonds may also </w:t>
      </w:r>
      <w:proofErr w:type="gramStart"/>
      <w:r w:rsidR="00BB0F7D">
        <w:rPr>
          <w:rFonts w:cs="Arial"/>
          <w:sz w:val="22"/>
          <w:szCs w:val="22"/>
        </w:rPr>
        <w:t>contain</w:t>
      </w:r>
      <w:proofErr w:type="gramEnd"/>
      <w:r w:rsidR="00BB0F7D">
        <w:rPr>
          <w:rFonts w:cs="Arial"/>
          <w:sz w:val="22"/>
          <w:szCs w:val="22"/>
        </w:rPr>
        <w:t xml:space="preserve"> “savings” language that provides the bond language will </w:t>
      </w:r>
      <w:proofErr w:type="gramStart"/>
      <w:r w:rsidR="00BB0F7D">
        <w:rPr>
          <w:rFonts w:cs="Arial"/>
          <w:sz w:val="22"/>
          <w:szCs w:val="22"/>
        </w:rPr>
        <w:t>be construed</w:t>
      </w:r>
      <w:proofErr w:type="gramEnd"/>
      <w:r w:rsidR="00BB0F7D">
        <w:rPr>
          <w:rFonts w:cs="Arial"/>
          <w:sz w:val="22"/>
          <w:szCs w:val="22"/>
        </w:rPr>
        <w:t xml:space="preserve"> to conform to statutory requirements.</w:t>
      </w:r>
    </w:p>
    <w:p w14:paraId="3678EF55" w14:textId="77777777" w:rsidR="00E0194D" w:rsidRPr="00370A43" w:rsidRDefault="00E0194D" w:rsidP="00370A43">
      <w:pPr>
        <w:tabs>
          <w:tab w:val="left" w:pos="-1440"/>
        </w:tabs>
        <w:rPr>
          <w:rFonts w:cs="Arial"/>
          <w:sz w:val="22"/>
          <w:szCs w:val="22"/>
        </w:rPr>
      </w:pPr>
    </w:p>
    <w:p w14:paraId="58825FD4" w14:textId="77777777" w:rsidR="00054DE3" w:rsidRPr="00370A43" w:rsidRDefault="00054DE3" w:rsidP="00370A43">
      <w:pPr>
        <w:tabs>
          <w:tab w:val="left" w:pos="-1440"/>
        </w:tabs>
        <w:rPr>
          <w:rFonts w:cs="Arial"/>
          <w:b/>
          <w:sz w:val="22"/>
          <w:szCs w:val="22"/>
        </w:rPr>
      </w:pPr>
    </w:p>
    <w:p w14:paraId="1CA31A97" w14:textId="77777777" w:rsidR="008C10DC" w:rsidRPr="00370A43" w:rsidRDefault="008C10DC" w:rsidP="00370A43">
      <w:pPr>
        <w:tabs>
          <w:tab w:val="left" w:pos="-1440"/>
        </w:tabs>
        <w:rPr>
          <w:rFonts w:cs="Arial"/>
          <w:b/>
          <w:sz w:val="22"/>
          <w:szCs w:val="22"/>
        </w:rPr>
      </w:pPr>
    </w:p>
    <w:p w14:paraId="383FCCC7" w14:textId="77777777" w:rsidR="008C10DC" w:rsidRPr="00370A43" w:rsidRDefault="008C10DC" w:rsidP="00370A43">
      <w:pPr>
        <w:tabs>
          <w:tab w:val="left" w:pos="-1440"/>
        </w:tabs>
        <w:rPr>
          <w:rFonts w:cs="Arial"/>
          <w:b/>
          <w:sz w:val="22"/>
          <w:szCs w:val="22"/>
        </w:rPr>
      </w:pPr>
    </w:p>
    <w:p w14:paraId="58C50043" w14:textId="77777777" w:rsidR="008C10DC" w:rsidRPr="00370A43" w:rsidRDefault="008C10DC" w:rsidP="00370A43">
      <w:pPr>
        <w:tabs>
          <w:tab w:val="left" w:pos="-1440"/>
        </w:tabs>
        <w:rPr>
          <w:rFonts w:cs="Arial"/>
          <w:b/>
          <w:sz w:val="22"/>
          <w:szCs w:val="22"/>
        </w:rPr>
      </w:pPr>
    </w:p>
    <w:p w14:paraId="7071651F" w14:textId="77777777" w:rsidR="008C10DC" w:rsidRDefault="008C10DC" w:rsidP="00370A43">
      <w:pPr>
        <w:tabs>
          <w:tab w:val="left" w:pos="-1440"/>
        </w:tabs>
        <w:rPr>
          <w:rFonts w:cs="Arial"/>
          <w:b/>
          <w:sz w:val="22"/>
          <w:szCs w:val="22"/>
        </w:rPr>
      </w:pPr>
    </w:p>
    <w:p w14:paraId="337F8F7E" w14:textId="77777777" w:rsidR="00370A43" w:rsidRDefault="00370A43" w:rsidP="00370A43">
      <w:pPr>
        <w:tabs>
          <w:tab w:val="left" w:pos="-1440"/>
        </w:tabs>
        <w:rPr>
          <w:rFonts w:cs="Arial"/>
          <w:b/>
          <w:sz w:val="22"/>
          <w:szCs w:val="22"/>
        </w:rPr>
      </w:pPr>
    </w:p>
    <w:p w14:paraId="7907C49E" w14:textId="77777777" w:rsidR="00370A43" w:rsidRDefault="00370A43" w:rsidP="00370A43">
      <w:pPr>
        <w:tabs>
          <w:tab w:val="left" w:pos="-1440"/>
        </w:tabs>
        <w:rPr>
          <w:rFonts w:cs="Arial"/>
          <w:b/>
          <w:sz w:val="22"/>
          <w:szCs w:val="22"/>
        </w:rPr>
      </w:pPr>
    </w:p>
    <w:p w14:paraId="145641F6" w14:textId="77777777" w:rsidR="00702B2A" w:rsidRDefault="00702B2A" w:rsidP="00370A43">
      <w:pPr>
        <w:tabs>
          <w:tab w:val="left" w:pos="-1440"/>
        </w:tabs>
        <w:rPr>
          <w:rFonts w:cs="Arial"/>
          <w:b/>
          <w:sz w:val="22"/>
          <w:szCs w:val="22"/>
        </w:rPr>
      </w:pPr>
    </w:p>
    <w:p w14:paraId="0A49AB2E" w14:textId="77777777" w:rsidR="00702B2A" w:rsidRDefault="00702B2A" w:rsidP="00370A43">
      <w:pPr>
        <w:tabs>
          <w:tab w:val="left" w:pos="-1440"/>
        </w:tabs>
        <w:rPr>
          <w:rFonts w:cs="Arial"/>
          <w:b/>
          <w:sz w:val="22"/>
          <w:szCs w:val="22"/>
        </w:rPr>
      </w:pPr>
    </w:p>
    <w:p w14:paraId="1FEDA1E3" w14:textId="77777777" w:rsidR="00702B2A" w:rsidRDefault="00702B2A" w:rsidP="00370A43">
      <w:pPr>
        <w:tabs>
          <w:tab w:val="left" w:pos="-1440"/>
        </w:tabs>
        <w:rPr>
          <w:rFonts w:cs="Arial"/>
          <w:b/>
          <w:sz w:val="22"/>
          <w:szCs w:val="22"/>
        </w:rPr>
      </w:pPr>
    </w:p>
    <w:p w14:paraId="65B2BC8E" w14:textId="77777777" w:rsidR="00370A43" w:rsidRDefault="00370A43" w:rsidP="00370A43">
      <w:pPr>
        <w:tabs>
          <w:tab w:val="left" w:pos="-1440"/>
        </w:tabs>
        <w:rPr>
          <w:rFonts w:cs="Arial"/>
          <w:b/>
          <w:sz w:val="22"/>
          <w:szCs w:val="22"/>
        </w:rPr>
      </w:pPr>
    </w:p>
    <w:p w14:paraId="72387AA7" w14:textId="77777777" w:rsidR="00370A43" w:rsidRPr="00370A43" w:rsidRDefault="00370A43" w:rsidP="00370A43">
      <w:pPr>
        <w:tabs>
          <w:tab w:val="left" w:pos="-1440"/>
        </w:tabs>
        <w:rPr>
          <w:rFonts w:cs="Arial"/>
          <w:b/>
          <w:sz w:val="22"/>
          <w:szCs w:val="22"/>
        </w:rPr>
      </w:pPr>
    </w:p>
    <w:p w14:paraId="49414920" w14:textId="77777777" w:rsidR="00054DE3" w:rsidRPr="00370A43" w:rsidRDefault="00054DE3" w:rsidP="00370A43">
      <w:pPr>
        <w:jc w:val="center"/>
        <w:rPr>
          <w:rFonts w:cs="Arial"/>
          <w:b/>
          <w:sz w:val="22"/>
          <w:szCs w:val="22"/>
        </w:rPr>
      </w:pPr>
      <w:r w:rsidRPr="00370A43">
        <w:rPr>
          <w:rFonts w:cs="Arial"/>
          <w:b/>
          <w:sz w:val="22"/>
          <w:szCs w:val="22"/>
        </w:rPr>
        <w:t>IMPORTANT NOTICES</w:t>
      </w:r>
    </w:p>
    <w:p w14:paraId="689F3BFF" w14:textId="77777777" w:rsidR="00054DE3" w:rsidRPr="00370A43" w:rsidRDefault="00054DE3" w:rsidP="00370A43">
      <w:pPr>
        <w:rPr>
          <w:rFonts w:cs="Arial"/>
          <w:sz w:val="22"/>
          <w:szCs w:val="22"/>
        </w:rPr>
      </w:pPr>
    </w:p>
    <w:p w14:paraId="3FCD8AA4" w14:textId="5241F904" w:rsidR="00054DE3" w:rsidRPr="00370A43" w:rsidRDefault="00054DE3" w:rsidP="00693DE7">
      <w:pPr>
        <w:jc w:val="both"/>
        <w:rPr>
          <w:rFonts w:cs="Arial"/>
          <w:sz w:val="22"/>
          <w:szCs w:val="22"/>
        </w:rPr>
      </w:pPr>
      <w:r w:rsidRPr="00370A43">
        <w:rPr>
          <w:rFonts w:cs="Arial"/>
          <w:sz w:val="22"/>
          <w:szCs w:val="22"/>
        </w:rPr>
        <w:t xml:space="preserve">This material </w:t>
      </w:r>
      <w:proofErr w:type="gramStart"/>
      <w:r w:rsidRPr="00370A43">
        <w:rPr>
          <w:rFonts w:cs="Arial"/>
          <w:sz w:val="22"/>
          <w:szCs w:val="22"/>
        </w:rPr>
        <w:t>is provided</w:t>
      </w:r>
      <w:proofErr w:type="gramEnd"/>
      <w:r w:rsidRPr="00370A43">
        <w:rPr>
          <w:rFonts w:cs="Arial"/>
          <w:sz w:val="22"/>
          <w:szCs w:val="22"/>
        </w:rPr>
        <w:t xml:space="preserve"> for informational purposes only and does not </w:t>
      </w:r>
      <w:proofErr w:type="gramStart"/>
      <w:r w:rsidRPr="00370A43">
        <w:rPr>
          <w:rFonts w:cs="Arial"/>
          <w:sz w:val="22"/>
          <w:szCs w:val="22"/>
        </w:rPr>
        <w:t>establish</w:t>
      </w:r>
      <w:proofErr w:type="gramEnd"/>
      <w:r w:rsidRPr="00370A43">
        <w:rPr>
          <w:rFonts w:cs="Arial"/>
          <w:sz w:val="22"/>
          <w:szCs w:val="22"/>
        </w:rPr>
        <w:t xml:space="preserve">, report, or create the standard of care for attorneys in Oregon, nor does it represent a complete analysis of the topics presented. Readers should conduct their own </w:t>
      </w:r>
      <w:proofErr w:type="gramStart"/>
      <w:r w:rsidRPr="00370A43">
        <w:rPr>
          <w:rFonts w:cs="Arial"/>
          <w:sz w:val="22"/>
          <w:szCs w:val="22"/>
        </w:rPr>
        <w:t>appropriate legal</w:t>
      </w:r>
      <w:proofErr w:type="gramEnd"/>
      <w:r w:rsidRPr="00370A43">
        <w:rPr>
          <w:rFonts w:cs="Arial"/>
          <w:sz w:val="22"/>
          <w:szCs w:val="22"/>
        </w:rPr>
        <w:t xml:space="preserve"> research. The information presented does not </w:t>
      </w:r>
      <w:proofErr w:type="gramStart"/>
      <w:r w:rsidRPr="00370A43">
        <w:rPr>
          <w:rFonts w:cs="Arial"/>
          <w:sz w:val="22"/>
          <w:szCs w:val="22"/>
        </w:rPr>
        <w:t>represent</w:t>
      </w:r>
      <w:proofErr w:type="gramEnd"/>
      <w:r w:rsidRPr="00370A43">
        <w:rPr>
          <w:rFonts w:cs="Arial"/>
          <w:sz w:val="22"/>
          <w:szCs w:val="22"/>
        </w:rPr>
        <w:t xml:space="preserve"> legal advice</w:t>
      </w:r>
      <w:r w:rsidR="003936D5" w:rsidRPr="00370A43">
        <w:rPr>
          <w:rFonts w:cs="Arial"/>
          <w:sz w:val="22"/>
          <w:szCs w:val="22"/>
        </w:rPr>
        <w:t xml:space="preserve">. </w:t>
      </w:r>
      <w:r w:rsidRPr="00370A43">
        <w:rPr>
          <w:rFonts w:cs="Arial"/>
          <w:sz w:val="22"/>
          <w:szCs w:val="22"/>
        </w:rPr>
        <w:t xml:space="preserve">This information may not </w:t>
      </w:r>
      <w:proofErr w:type="gramStart"/>
      <w:r w:rsidRPr="00370A43">
        <w:rPr>
          <w:rFonts w:cs="Arial"/>
          <w:sz w:val="22"/>
          <w:szCs w:val="22"/>
        </w:rPr>
        <w:t>be republished</w:t>
      </w:r>
      <w:proofErr w:type="gramEnd"/>
      <w:r w:rsidRPr="00370A43">
        <w:rPr>
          <w:rFonts w:cs="Arial"/>
          <w:sz w:val="22"/>
          <w:szCs w:val="22"/>
        </w:rPr>
        <w:t xml:space="preserve">, sold, or used in any other form without the written consent of the Oregon State Bar Professional Liability Fund except that permission </w:t>
      </w:r>
      <w:proofErr w:type="gramStart"/>
      <w:r w:rsidRPr="00370A43">
        <w:rPr>
          <w:rFonts w:cs="Arial"/>
          <w:sz w:val="22"/>
          <w:szCs w:val="22"/>
        </w:rPr>
        <w:t>is granted</w:t>
      </w:r>
      <w:proofErr w:type="gramEnd"/>
      <w:r w:rsidRPr="00370A43">
        <w:rPr>
          <w:rFonts w:cs="Arial"/>
          <w:sz w:val="22"/>
          <w:szCs w:val="22"/>
        </w:rPr>
        <w:t xml:space="preserve"> for Oregon lawyers to use and </w:t>
      </w:r>
      <w:proofErr w:type="gramStart"/>
      <w:r w:rsidRPr="00370A43">
        <w:rPr>
          <w:rFonts w:cs="Arial"/>
          <w:sz w:val="22"/>
          <w:szCs w:val="22"/>
        </w:rPr>
        <w:t>modify</w:t>
      </w:r>
      <w:proofErr w:type="gramEnd"/>
      <w:r w:rsidRPr="00370A43">
        <w:rPr>
          <w:rFonts w:cs="Arial"/>
          <w:sz w:val="22"/>
          <w:szCs w:val="22"/>
        </w:rPr>
        <w:t xml:space="preserve"> these materials for </w:t>
      </w:r>
      <w:r w:rsidR="00DC4465" w:rsidRPr="00370A43">
        <w:rPr>
          <w:rFonts w:cs="Arial"/>
          <w:sz w:val="22"/>
          <w:szCs w:val="22"/>
        </w:rPr>
        <w:t>use</w:t>
      </w:r>
      <w:r w:rsidR="004C2797" w:rsidRPr="00370A43">
        <w:rPr>
          <w:rFonts w:cs="Arial"/>
          <w:sz w:val="22"/>
          <w:szCs w:val="22"/>
        </w:rPr>
        <w:t xml:space="preserve"> in their own practices. © 202</w:t>
      </w:r>
      <w:r w:rsidR="00702B2A">
        <w:rPr>
          <w:rFonts w:cs="Arial"/>
          <w:sz w:val="22"/>
          <w:szCs w:val="22"/>
        </w:rPr>
        <w:t>5</w:t>
      </w:r>
      <w:r w:rsidRPr="00370A43">
        <w:rPr>
          <w:rFonts w:cs="Arial"/>
          <w:sz w:val="22"/>
          <w:szCs w:val="22"/>
        </w:rPr>
        <w:t xml:space="preserve"> </w:t>
      </w:r>
      <w:r w:rsidR="003168D9" w:rsidRPr="00370A43">
        <w:rPr>
          <w:rFonts w:cs="Arial"/>
          <w:sz w:val="22"/>
          <w:szCs w:val="22"/>
        </w:rPr>
        <w:t>OSB Professional Liability Fund</w:t>
      </w:r>
    </w:p>
    <w:sectPr w:rsidR="00054DE3" w:rsidRPr="00370A43" w:rsidSect="00693DE7">
      <w:headerReference w:type="default" r:id="rId7"/>
      <w:footerReference w:type="default" r:id="rId8"/>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22B2" w14:textId="77777777" w:rsidR="00B217C1" w:rsidRDefault="00B217C1">
      <w:r>
        <w:separator/>
      </w:r>
    </w:p>
  </w:endnote>
  <w:endnote w:type="continuationSeparator" w:id="0">
    <w:p w14:paraId="6EE36DE4" w14:textId="77777777" w:rsidR="00B217C1" w:rsidRDefault="00B2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D247" w14:textId="645B5245" w:rsidR="008E760C" w:rsidRPr="00F67ED1" w:rsidRDefault="00305A12" w:rsidP="00693DE7">
    <w:pPr>
      <w:tabs>
        <w:tab w:val="right" w:pos="9360"/>
      </w:tabs>
      <w:suppressAutoHyphens/>
      <w:jc w:val="both"/>
      <w:rPr>
        <w:spacing w:val="-1"/>
        <w:sz w:val="16"/>
        <w:szCs w:val="16"/>
      </w:rPr>
    </w:pPr>
    <w:r w:rsidRPr="00E30A6F">
      <w:rPr>
        <w:rFonts w:cs="Arial"/>
        <w:sz w:val="16"/>
      </w:rPr>
      <w:t>PROFESSIONAL LIABILITY FUND</w:t>
    </w:r>
    <w:r w:rsidR="00930E1F">
      <w:rPr>
        <w:rFonts w:cs="Arial"/>
        <w:sz w:val="16"/>
      </w:rPr>
      <w:t xml:space="preserve"> [Rev. </w:t>
    </w:r>
    <w:r w:rsidR="00BB0F7D">
      <w:rPr>
        <w:rFonts w:cs="Arial"/>
        <w:sz w:val="16"/>
      </w:rPr>
      <w:t>11</w:t>
    </w:r>
    <w:r w:rsidR="00643868">
      <w:rPr>
        <w:rFonts w:cs="Arial"/>
        <w:sz w:val="16"/>
      </w:rPr>
      <w:t>/</w:t>
    </w:r>
    <w:r w:rsidR="00BB0F7D">
      <w:rPr>
        <w:rFonts w:cs="Arial"/>
        <w:sz w:val="16"/>
      </w:rPr>
      <w:t>2025</w:t>
    </w:r>
    <w:r>
      <w:rPr>
        <w:rFonts w:cs="Arial"/>
        <w:sz w:val="16"/>
      </w:rPr>
      <w:t xml:space="preserve">]  </w:t>
    </w:r>
    <w:r w:rsidRPr="00E30A6F">
      <w:rPr>
        <w:rFonts w:cs="Arial"/>
        <w:sz w:val="16"/>
      </w:rPr>
      <w:t xml:space="preserve"> </w:t>
    </w:r>
    <w:r w:rsidR="008E760C" w:rsidRPr="00E30A6F">
      <w:rPr>
        <w:rFonts w:cs="Arial"/>
        <w:sz w:val="12"/>
      </w:rPr>
      <w:tab/>
    </w:r>
    <w:r w:rsidR="007B648C">
      <w:rPr>
        <w:rFonts w:cs="Arial"/>
        <w:sz w:val="16"/>
      </w:rPr>
      <w:t>Appendi</w:t>
    </w:r>
    <w:r w:rsidR="00303CD4">
      <w:rPr>
        <w:rFonts w:cs="Arial"/>
        <w:sz w:val="16"/>
      </w:rPr>
      <w:t>x C- Perfecting an Oregon Public Works Claim</w:t>
    </w:r>
    <w:r w:rsidR="008E760C" w:rsidRPr="00F67ED1">
      <w:rPr>
        <w:spacing w:val="-1"/>
        <w:sz w:val="16"/>
        <w:szCs w:val="16"/>
      </w:rPr>
      <w:t xml:space="preserve"> - </w:t>
    </w:r>
    <w:r w:rsidR="008E760C" w:rsidRPr="00F67ED1">
      <w:rPr>
        <w:spacing w:val="-2"/>
        <w:sz w:val="16"/>
        <w:szCs w:val="16"/>
      </w:rPr>
      <w:t xml:space="preserve">Page </w:t>
    </w:r>
    <w:r w:rsidR="008E760C" w:rsidRPr="00F67ED1">
      <w:rPr>
        <w:spacing w:val="-2"/>
        <w:sz w:val="16"/>
        <w:szCs w:val="16"/>
      </w:rPr>
      <w:fldChar w:fldCharType="begin"/>
    </w:r>
    <w:r w:rsidR="008E760C" w:rsidRPr="00F67ED1">
      <w:rPr>
        <w:spacing w:val="-2"/>
        <w:sz w:val="16"/>
        <w:szCs w:val="16"/>
      </w:rPr>
      <w:instrText>page \* arabic</w:instrText>
    </w:r>
    <w:r w:rsidR="008E760C" w:rsidRPr="00F67ED1">
      <w:rPr>
        <w:spacing w:val="-2"/>
        <w:sz w:val="16"/>
        <w:szCs w:val="16"/>
      </w:rPr>
      <w:fldChar w:fldCharType="separate"/>
    </w:r>
    <w:r w:rsidR="00362B55">
      <w:rPr>
        <w:noProof/>
        <w:spacing w:val="-2"/>
        <w:sz w:val="16"/>
        <w:szCs w:val="16"/>
      </w:rPr>
      <w:t>2</w:t>
    </w:r>
    <w:r w:rsidR="008E760C" w:rsidRPr="00F67ED1">
      <w:rPr>
        <w:spacing w:val="-2"/>
        <w:sz w:val="16"/>
        <w:szCs w:val="16"/>
      </w:rPr>
      <w:fldChar w:fldCharType="end"/>
    </w:r>
    <w:r w:rsidR="008E760C" w:rsidRPr="00F67ED1">
      <w:rPr>
        <w:spacing w:val="-1"/>
        <w:sz w:val="16"/>
        <w:szCs w:val="16"/>
      </w:rPr>
      <w:t xml:space="preserve">  </w:t>
    </w:r>
  </w:p>
  <w:p w14:paraId="5520AF81" w14:textId="77777777" w:rsidR="00054DE3" w:rsidRPr="00D748E6" w:rsidRDefault="00054DE3" w:rsidP="00A01CFB">
    <w:pPr>
      <w:tabs>
        <w:tab w:val="center" w:pos="1440"/>
      </w:tabs>
      <w:rPr>
        <w:rFonts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E908" w14:textId="77777777" w:rsidR="00B217C1" w:rsidRDefault="00B217C1">
      <w:r>
        <w:separator/>
      </w:r>
    </w:p>
  </w:footnote>
  <w:footnote w:type="continuationSeparator" w:id="0">
    <w:p w14:paraId="22C221AF" w14:textId="77777777" w:rsidR="00B217C1" w:rsidRDefault="00B2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E606" w14:textId="77777777" w:rsidR="0032593D" w:rsidRPr="003168D9" w:rsidRDefault="00303CD4" w:rsidP="00904974">
    <w:pPr>
      <w:jc w:val="center"/>
      <w:rPr>
        <w:b/>
        <w:sz w:val="24"/>
        <w:szCs w:val="24"/>
      </w:rPr>
    </w:pPr>
    <w:r>
      <w:rPr>
        <w:b/>
        <w:sz w:val="24"/>
        <w:szCs w:val="24"/>
      </w:rPr>
      <w:t>APPENDIX C- SUMMARY OF STEPS NECESSARY TO PERFECT AN OREGON PUBLIC WORKS CLAIM</w:t>
    </w:r>
  </w:p>
  <w:p w14:paraId="3D89798D" w14:textId="77777777" w:rsidR="009314F1" w:rsidRPr="00E30A6F" w:rsidRDefault="009314F1" w:rsidP="0032593D">
    <w:pPr>
      <w:pStyle w:val="Header"/>
      <w:tabs>
        <w:tab w:val="clear" w:pos="4320"/>
        <w:tab w:val="clear" w:pos="8640"/>
        <w:tab w:val="left" w:pos="28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59E"/>
    <w:multiLevelType w:val="singleLevel"/>
    <w:tmpl w:val="B2F4AA3C"/>
    <w:lvl w:ilvl="0">
      <w:start w:val="1"/>
      <w:numFmt w:val="decimal"/>
      <w:lvlText w:val="%1."/>
      <w:lvlJc w:val="left"/>
      <w:pPr>
        <w:tabs>
          <w:tab w:val="num" w:pos="360"/>
        </w:tabs>
        <w:ind w:left="360" w:hanging="360"/>
      </w:pPr>
      <w:rPr>
        <w:rFonts w:hint="default"/>
        <w:b/>
        <w:u w:val="none"/>
      </w:rPr>
    </w:lvl>
  </w:abstractNum>
  <w:abstractNum w:abstractNumId="1" w15:restartNumberingAfterBreak="0">
    <w:nsid w:val="0B1B4B10"/>
    <w:multiLevelType w:val="singleLevel"/>
    <w:tmpl w:val="EE84F008"/>
    <w:lvl w:ilvl="0">
      <w:start w:val="1"/>
      <w:numFmt w:val="decimal"/>
      <w:lvlText w:val="%1."/>
      <w:lvlJc w:val="left"/>
      <w:pPr>
        <w:tabs>
          <w:tab w:val="num" w:pos="360"/>
        </w:tabs>
        <w:ind w:left="360" w:hanging="360"/>
      </w:pPr>
      <w:rPr>
        <w:rFonts w:hint="default"/>
        <w:b/>
        <w:u w:val="none"/>
      </w:rPr>
    </w:lvl>
  </w:abstractNum>
  <w:abstractNum w:abstractNumId="2" w15:restartNumberingAfterBreak="0">
    <w:nsid w:val="2FA75450"/>
    <w:multiLevelType w:val="hybridMultilevel"/>
    <w:tmpl w:val="3E12A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5016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2C86301"/>
    <w:multiLevelType w:val="singleLevel"/>
    <w:tmpl w:val="DCF0826E"/>
    <w:lvl w:ilvl="0">
      <w:start w:val="1"/>
      <w:numFmt w:val="decimal"/>
      <w:lvlText w:val="%1."/>
      <w:lvlJc w:val="left"/>
      <w:pPr>
        <w:tabs>
          <w:tab w:val="num" w:pos="360"/>
        </w:tabs>
        <w:ind w:left="360" w:hanging="360"/>
      </w:pPr>
      <w:rPr>
        <w:rFonts w:hint="default"/>
        <w:b/>
        <w:u w:val="none"/>
      </w:rPr>
    </w:lvl>
  </w:abstractNum>
  <w:abstractNum w:abstractNumId="5" w15:restartNumberingAfterBreak="0">
    <w:nsid w:val="71D00D4D"/>
    <w:multiLevelType w:val="singleLevel"/>
    <w:tmpl w:val="0F3829B8"/>
    <w:lvl w:ilvl="0">
      <w:start w:val="5"/>
      <w:numFmt w:val="decimal"/>
      <w:lvlText w:val="%1."/>
      <w:lvlJc w:val="left"/>
      <w:pPr>
        <w:tabs>
          <w:tab w:val="num" w:pos="720"/>
        </w:tabs>
        <w:ind w:left="720" w:hanging="720"/>
      </w:pPr>
      <w:rPr>
        <w:rFonts w:hint="default"/>
        <w:u w:val="none"/>
      </w:rPr>
    </w:lvl>
  </w:abstractNum>
  <w:num w:numId="1" w16cid:durableId="278487963">
    <w:abstractNumId w:val="5"/>
  </w:num>
  <w:num w:numId="2" w16cid:durableId="1096443873">
    <w:abstractNumId w:val="3"/>
  </w:num>
  <w:num w:numId="3" w16cid:durableId="1106005807">
    <w:abstractNumId w:val="4"/>
  </w:num>
  <w:num w:numId="4" w16cid:durableId="598635292">
    <w:abstractNumId w:val="1"/>
  </w:num>
  <w:num w:numId="5" w16cid:durableId="388723496">
    <w:abstractNumId w:val="0"/>
  </w:num>
  <w:num w:numId="6" w16cid:durableId="206710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78"/>
    <w:rsid w:val="00022B33"/>
    <w:rsid w:val="0003679F"/>
    <w:rsid w:val="000420C8"/>
    <w:rsid w:val="00054DE3"/>
    <w:rsid w:val="00057C3B"/>
    <w:rsid w:val="00057E88"/>
    <w:rsid w:val="00072652"/>
    <w:rsid w:val="000860D3"/>
    <w:rsid w:val="000B7DAB"/>
    <w:rsid w:val="000D1DB2"/>
    <w:rsid w:val="000E28BB"/>
    <w:rsid w:val="000E6369"/>
    <w:rsid w:val="00103E5E"/>
    <w:rsid w:val="001250AA"/>
    <w:rsid w:val="001415BA"/>
    <w:rsid w:val="0016217C"/>
    <w:rsid w:val="001727A3"/>
    <w:rsid w:val="001A1FF8"/>
    <w:rsid w:val="001B3BCE"/>
    <w:rsid w:val="001B5F4A"/>
    <w:rsid w:val="001D1E37"/>
    <w:rsid w:val="001F0893"/>
    <w:rsid w:val="001F7A5A"/>
    <w:rsid w:val="002265AA"/>
    <w:rsid w:val="002323D8"/>
    <w:rsid w:val="00250B70"/>
    <w:rsid w:val="00252087"/>
    <w:rsid w:val="002570C8"/>
    <w:rsid w:val="00297969"/>
    <w:rsid w:val="002A0DB7"/>
    <w:rsid w:val="002A2A6F"/>
    <w:rsid w:val="002B0B6C"/>
    <w:rsid w:val="003012DC"/>
    <w:rsid w:val="00303CD4"/>
    <w:rsid w:val="00304DA6"/>
    <w:rsid w:val="00305A12"/>
    <w:rsid w:val="003168D9"/>
    <w:rsid w:val="0032593D"/>
    <w:rsid w:val="00327FD2"/>
    <w:rsid w:val="003411A1"/>
    <w:rsid w:val="00354461"/>
    <w:rsid w:val="003577A3"/>
    <w:rsid w:val="003608FF"/>
    <w:rsid w:val="00362B55"/>
    <w:rsid w:val="00364508"/>
    <w:rsid w:val="00370A43"/>
    <w:rsid w:val="003755E4"/>
    <w:rsid w:val="00375925"/>
    <w:rsid w:val="003936D5"/>
    <w:rsid w:val="003A634B"/>
    <w:rsid w:val="003B537B"/>
    <w:rsid w:val="00402469"/>
    <w:rsid w:val="004207BD"/>
    <w:rsid w:val="0045043C"/>
    <w:rsid w:val="004717E3"/>
    <w:rsid w:val="004825FE"/>
    <w:rsid w:val="004A5FE8"/>
    <w:rsid w:val="004A7C57"/>
    <w:rsid w:val="004C2797"/>
    <w:rsid w:val="004F23A6"/>
    <w:rsid w:val="00514E1A"/>
    <w:rsid w:val="005157B1"/>
    <w:rsid w:val="00543524"/>
    <w:rsid w:val="005503A2"/>
    <w:rsid w:val="0056202E"/>
    <w:rsid w:val="00574026"/>
    <w:rsid w:val="00585209"/>
    <w:rsid w:val="00585A03"/>
    <w:rsid w:val="00590D15"/>
    <w:rsid w:val="005B17E0"/>
    <w:rsid w:val="005C72BE"/>
    <w:rsid w:val="005E5753"/>
    <w:rsid w:val="00602A41"/>
    <w:rsid w:val="00636EDF"/>
    <w:rsid w:val="00643868"/>
    <w:rsid w:val="00665EA3"/>
    <w:rsid w:val="00674F25"/>
    <w:rsid w:val="00680DC0"/>
    <w:rsid w:val="00680FF2"/>
    <w:rsid w:val="00693DE7"/>
    <w:rsid w:val="006B1FF0"/>
    <w:rsid w:val="006F12E6"/>
    <w:rsid w:val="00702B2A"/>
    <w:rsid w:val="007420DE"/>
    <w:rsid w:val="007659AA"/>
    <w:rsid w:val="00766AEF"/>
    <w:rsid w:val="00775250"/>
    <w:rsid w:val="0079102D"/>
    <w:rsid w:val="007A42F9"/>
    <w:rsid w:val="007A55A9"/>
    <w:rsid w:val="007B24FF"/>
    <w:rsid w:val="007B648C"/>
    <w:rsid w:val="007C2A7A"/>
    <w:rsid w:val="007C3EA5"/>
    <w:rsid w:val="007D750F"/>
    <w:rsid w:val="007E4BB0"/>
    <w:rsid w:val="007F587B"/>
    <w:rsid w:val="007F6B87"/>
    <w:rsid w:val="00800EE1"/>
    <w:rsid w:val="00814A6A"/>
    <w:rsid w:val="00815EAF"/>
    <w:rsid w:val="00836C01"/>
    <w:rsid w:val="0085569D"/>
    <w:rsid w:val="00863AB1"/>
    <w:rsid w:val="008717B7"/>
    <w:rsid w:val="00876810"/>
    <w:rsid w:val="008B7FB6"/>
    <w:rsid w:val="008C10DC"/>
    <w:rsid w:val="008E760C"/>
    <w:rsid w:val="008F4C0D"/>
    <w:rsid w:val="00900283"/>
    <w:rsid w:val="00904974"/>
    <w:rsid w:val="00913C7E"/>
    <w:rsid w:val="009267CB"/>
    <w:rsid w:val="00930E1F"/>
    <w:rsid w:val="009314F1"/>
    <w:rsid w:val="00934311"/>
    <w:rsid w:val="00970618"/>
    <w:rsid w:val="00982456"/>
    <w:rsid w:val="00983D25"/>
    <w:rsid w:val="00985896"/>
    <w:rsid w:val="009A1592"/>
    <w:rsid w:val="009B6BAC"/>
    <w:rsid w:val="009D4850"/>
    <w:rsid w:val="00A01CFB"/>
    <w:rsid w:val="00A15BA9"/>
    <w:rsid w:val="00A442EC"/>
    <w:rsid w:val="00A4705D"/>
    <w:rsid w:val="00A50A54"/>
    <w:rsid w:val="00A61D3D"/>
    <w:rsid w:val="00A70D84"/>
    <w:rsid w:val="00A730C9"/>
    <w:rsid w:val="00A7532B"/>
    <w:rsid w:val="00A90650"/>
    <w:rsid w:val="00A96997"/>
    <w:rsid w:val="00AB03F4"/>
    <w:rsid w:val="00AB6320"/>
    <w:rsid w:val="00AD435C"/>
    <w:rsid w:val="00AE0718"/>
    <w:rsid w:val="00AE5C3B"/>
    <w:rsid w:val="00B0166F"/>
    <w:rsid w:val="00B05591"/>
    <w:rsid w:val="00B217C1"/>
    <w:rsid w:val="00B24F81"/>
    <w:rsid w:val="00B35EA1"/>
    <w:rsid w:val="00B41EF4"/>
    <w:rsid w:val="00B47F7A"/>
    <w:rsid w:val="00B673FE"/>
    <w:rsid w:val="00B81C36"/>
    <w:rsid w:val="00BA139B"/>
    <w:rsid w:val="00BA42DC"/>
    <w:rsid w:val="00BB0F7D"/>
    <w:rsid w:val="00BE05B8"/>
    <w:rsid w:val="00BE6FB1"/>
    <w:rsid w:val="00BF2558"/>
    <w:rsid w:val="00BF587B"/>
    <w:rsid w:val="00BF6A32"/>
    <w:rsid w:val="00C02F64"/>
    <w:rsid w:val="00C0300E"/>
    <w:rsid w:val="00C3115C"/>
    <w:rsid w:val="00C46EC3"/>
    <w:rsid w:val="00C516C8"/>
    <w:rsid w:val="00C66417"/>
    <w:rsid w:val="00C66B4F"/>
    <w:rsid w:val="00C67777"/>
    <w:rsid w:val="00C73BB4"/>
    <w:rsid w:val="00C75999"/>
    <w:rsid w:val="00C836A7"/>
    <w:rsid w:val="00C90073"/>
    <w:rsid w:val="00CC270F"/>
    <w:rsid w:val="00CE47C7"/>
    <w:rsid w:val="00CF5247"/>
    <w:rsid w:val="00D23702"/>
    <w:rsid w:val="00D263E7"/>
    <w:rsid w:val="00D3513F"/>
    <w:rsid w:val="00D411B1"/>
    <w:rsid w:val="00D513B1"/>
    <w:rsid w:val="00D61B96"/>
    <w:rsid w:val="00D705F1"/>
    <w:rsid w:val="00D70AD9"/>
    <w:rsid w:val="00D748E6"/>
    <w:rsid w:val="00DB4BA7"/>
    <w:rsid w:val="00DC09BE"/>
    <w:rsid w:val="00DC4465"/>
    <w:rsid w:val="00DF4ED2"/>
    <w:rsid w:val="00E00F98"/>
    <w:rsid w:val="00E0194D"/>
    <w:rsid w:val="00E03B98"/>
    <w:rsid w:val="00E13669"/>
    <w:rsid w:val="00E172D2"/>
    <w:rsid w:val="00E30A6F"/>
    <w:rsid w:val="00E4324F"/>
    <w:rsid w:val="00E52B28"/>
    <w:rsid w:val="00E53AE2"/>
    <w:rsid w:val="00E553E5"/>
    <w:rsid w:val="00E60D33"/>
    <w:rsid w:val="00E66F16"/>
    <w:rsid w:val="00E71822"/>
    <w:rsid w:val="00E719CF"/>
    <w:rsid w:val="00E73D5D"/>
    <w:rsid w:val="00E87A86"/>
    <w:rsid w:val="00EA1ACC"/>
    <w:rsid w:val="00EA505E"/>
    <w:rsid w:val="00EC0CF2"/>
    <w:rsid w:val="00EF02C7"/>
    <w:rsid w:val="00EF061C"/>
    <w:rsid w:val="00EF0B13"/>
    <w:rsid w:val="00EF1C78"/>
    <w:rsid w:val="00F01620"/>
    <w:rsid w:val="00F05211"/>
    <w:rsid w:val="00F05E35"/>
    <w:rsid w:val="00F1085C"/>
    <w:rsid w:val="00F41F7E"/>
    <w:rsid w:val="00F46D1F"/>
    <w:rsid w:val="00F52A43"/>
    <w:rsid w:val="00F66141"/>
    <w:rsid w:val="00F72224"/>
    <w:rsid w:val="00F8771F"/>
    <w:rsid w:val="00FB5E2B"/>
    <w:rsid w:val="00FD49AE"/>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A9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tabs>
        <w:tab w:val="center" w:pos="4680"/>
      </w:tabs>
      <w:jc w:val="center"/>
      <w:outlineLvl w:val="0"/>
    </w:pPr>
    <w:rPr>
      <w:b/>
      <w:u w:val="single"/>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link w:val="Heading3Char"/>
    <w:qFormat/>
    <w:pPr>
      <w:keepNext/>
      <w:tabs>
        <w:tab w:val="center" w:pos="4680"/>
      </w:tab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sz w:val="28"/>
    </w:rPr>
  </w:style>
  <w:style w:type="paragraph" w:styleId="BodyText">
    <w:name w:val="Body Text"/>
    <w:basedOn w:val="Normal"/>
    <w:semiHidden/>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jc w:val="center"/>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style>
  <w:style w:type="paragraph" w:styleId="BodyTextIndent2">
    <w:name w:val="Body Text Indent 2"/>
    <w:basedOn w:val="Normal"/>
    <w:semiHidden/>
    <w:pPr>
      <w:ind w:firstLine="720"/>
      <w:jc w:val="both"/>
    </w:pPr>
  </w:style>
  <w:style w:type="paragraph" w:styleId="BalloonText">
    <w:name w:val="Balloon Text"/>
    <w:basedOn w:val="Normal"/>
    <w:link w:val="BalloonTextChar"/>
    <w:uiPriority w:val="99"/>
    <w:semiHidden/>
    <w:unhideWhenUsed/>
    <w:rsid w:val="00D748E6"/>
    <w:rPr>
      <w:rFonts w:ascii="Tahoma" w:hAnsi="Tahoma"/>
      <w:sz w:val="16"/>
      <w:szCs w:val="16"/>
      <w:lang w:val="x-none" w:eastAsia="x-none"/>
    </w:rPr>
  </w:style>
  <w:style w:type="character" w:customStyle="1" w:styleId="BalloonTextChar">
    <w:name w:val="Balloon Text Char"/>
    <w:link w:val="BalloonText"/>
    <w:uiPriority w:val="99"/>
    <w:semiHidden/>
    <w:rsid w:val="00D748E6"/>
    <w:rPr>
      <w:rFonts w:ascii="Tahoma" w:hAnsi="Tahoma" w:cs="Tahoma"/>
      <w:snapToGrid w:val="0"/>
      <w:sz w:val="16"/>
      <w:szCs w:val="16"/>
    </w:rPr>
  </w:style>
  <w:style w:type="character" w:customStyle="1" w:styleId="HeaderChar">
    <w:name w:val="Header Char"/>
    <w:link w:val="Header"/>
    <w:uiPriority w:val="99"/>
    <w:rsid w:val="0032593D"/>
    <w:rPr>
      <w:rFonts w:ascii="Arial" w:hAnsi="Arial"/>
      <w:snapToGrid w:val="0"/>
    </w:rPr>
  </w:style>
  <w:style w:type="paragraph" w:styleId="Revision">
    <w:name w:val="Revision"/>
    <w:hidden/>
    <w:uiPriority w:val="99"/>
    <w:semiHidden/>
    <w:rsid w:val="00F01620"/>
    <w:rPr>
      <w:rFonts w:ascii="Arial" w:hAnsi="Arial"/>
      <w:snapToGrid w:val="0"/>
    </w:rPr>
  </w:style>
  <w:style w:type="table" w:styleId="TableGrid">
    <w:name w:val="Table Grid"/>
    <w:basedOn w:val="TableNormal"/>
    <w:uiPriority w:val="59"/>
    <w:rsid w:val="00CC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B1FF0"/>
    <w:rPr>
      <w:rFonts w:ascii="Arial" w:hAnsi="Arial"/>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7DD2F2C3-49E6-4C48-8684-811FB9070C49}"/>
</file>

<file path=customXml/itemProps2.xml><?xml version="1.0" encoding="utf-8"?>
<ds:datastoreItem xmlns:ds="http://schemas.openxmlformats.org/officeDocument/2006/customXml" ds:itemID="{1B44D073-0C68-4E8C-ADF6-0D730C0C31DD}"/>
</file>

<file path=customXml/itemProps3.xml><?xml version="1.0" encoding="utf-8"?>
<ds:datastoreItem xmlns:ds="http://schemas.openxmlformats.org/officeDocument/2006/customXml" ds:itemID="{F536FD4D-CACB-4F6D-9CA5-5ED646B586F6}"/>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4285</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2025-11-03T05:31:00Z</dcterms:created>
  <dcterms:modified xsi:type="dcterms:W3CDTF">2025-11-03T05:31:00Z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199200</vt:r8>
  </property>
  <property fmtid="{D5CDD505-2E9C-101B-9397-08002B2CF9AE}" pid="3" name="MediaServiceImageTags">
    <vt:lpwstr/>
  </property>
  <property fmtid="{D5CDD505-2E9C-101B-9397-08002B2CF9AE}" pid="4" name="ContentTypeId">
    <vt:lpwstr>0x010100A1DDC338712AAF438B3B42F2A08579B3</vt:lpwstr>
  </property>
</Properties>
</file>