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35" w:type="dxa"/>
        <w:tblLook w:val="04A0" w:firstRow="1" w:lastRow="0" w:firstColumn="1" w:lastColumn="0" w:noHBand="0" w:noVBand="1"/>
      </w:tblPr>
      <w:tblGrid>
        <w:gridCol w:w="2214"/>
        <w:gridCol w:w="2214"/>
        <w:gridCol w:w="2214"/>
        <w:gridCol w:w="2893"/>
      </w:tblGrid>
      <w:tr w:rsidR="00CC270F" w:rsidRPr="00EB7B23" w14:paraId="2E5FFC89" w14:textId="77777777" w:rsidTr="00A35D8B">
        <w:tc>
          <w:tcPr>
            <w:tcW w:w="9535" w:type="dxa"/>
            <w:gridSpan w:val="4"/>
            <w:shd w:val="clear" w:color="auto" w:fill="000000" w:themeFill="text1"/>
          </w:tcPr>
          <w:p w14:paraId="72A13AF7" w14:textId="77777777" w:rsidR="00CC270F" w:rsidRPr="00EB7B23" w:rsidRDefault="00CC270F" w:rsidP="000930E8">
            <w:pPr>
              <w:numPr>
                <w:ilvl w:val="0"/>
                <w:numId w:val="6"/>
              </w:numPr>
              <w:tabs>
                <w:tab w:val="left" w:pos="-1440"/>
              </w:tabs>
              <w:jc w:val="center"/>
              <w:rPr>
                <w:rFonts w:cs="Arial"/>
                <w:b/>
                <w:sz w:val="22"/>
                <w:szCs w:val="22"/>
              </w:rPr>
            </w:pPr>
            <w:r w:rsidRPr="00EB7B23">
              <w:rPr>
                <w:rFonts w:cs="Arial"/>
                <w:b/>
                <w:sz w:val="22"/>
                <w:szCs w:val="22"/>
              </w:rPr>
              <w:t xml:space="preserve">Is the project </w:t>
            </w:r>
            <w:proofErr w:type="gramStart"/>
            <w:r w:rsidRPr="00EB7B23">
              <w:rPr>
                <w:rFonts w:cs="Arial"/>
                <w:b/>
                <w:sz w:val="22"/>
                <w:szCs w:val="22"/>
              </w:rPr>
              <w:t>located</w:t>
            </w:r>
            <w:proofErr w:type="gramEnd"/>
            <w:r w:rsidRPr="00EB7B23">
              <w:rPr>
                <w:rFonts w:cs="Arial"/>
                <w:b/>
                <w:sz w:val="22"/>
                <w:szCs w:val="22"/>
              </w:rPr>
              <w:t xml:space="preserve"> in Oregon?</w:t>
            </w:r>
          </w:p>
        </w:tc>
      </w:tr>
      <w:tr w:rsidR="00CC270F" w:rsidRPr="00EB7B23" w14:paraId="391F2C88" w14:textId="77777777" w:rsidTr="00A35D8B">
        <w:tc>
          <w:tcPr>
            <w:tcW w:w="9535" w:type="dxa"/>
            <w:gridSpan w:val="4"/>
          </w:tcPr>
          <w:p w14:paraId="3367CF57" w14:textId="77777777" w:rsidR="00CC270F" w:rsidRPr="00EB7B23" w:rsidRDefault="00CC270F" w:rsidP="000930E8">
            <w:pPr>
              <w:pStyle w:val="BodyTextIndent2"/>
              <w:spacing w:before="60" w:after="60"/>
              <w:ind w:firstLine="0"/>
              <w:jc w:val="left"/>
              <w:rPr>
                <w:rFonts w:cs="Arial"/>
                <w:sz w:val="22"/>
                <w:szCs w:val="22"/>
              </w:rPr>
            </w:pPr>
            <w:r w:rsidRPr="00EB7B23">
              <w:rPr>
                <w:rFonts w:cs="Arial"/>
                <w:sz w:val="22"/>
                <w:szCs w:val="22"/>
              </w:rPr>
              <w:t xml:space="preserve">Lien laws are different in every state. If the project is a private (non-governmental) project and </w:t>
            </w:r>
            <w:proofErr w:type="gramStart"/>
            <w:r w:rsidRPr="00EB7B23">
              <w:rPr>
                <w:rFonts w:cs="Arial"/>
                <w:sz w:val="22"/>
                <w:szCs w:val="22"/>
              </w:rPr>
              <w:t>located</w:t>
            </w:r>
            <w:proofErr w:type="gramEnd"/>
            <w:r w:rsidRPr="00EB7B23">
              <w:rPr>
                <w:rFonts w:cs="Arial"/>
                <w:sz w:val="22"/>
                <w:szCs w:val="22"/>
              </w:rPr>
              <w:t xml:space="preserve"> out of state, then the matter should </w:t>
            </w:r>
            <w:proofErr w:type="gramStart"/>
            <w:r w:rsidRPr="00EB7B23">
              <w:rPr>
                <w:rFonts w:cs="Arial"/>
                <w:sz w:val="22"/>
                <w:szCs w:val="22"/>
              </w:rPr>
              <w:t>be referred</w:t>
            </w:r>
            <w:proofErr w:type="gramEnd"/>
            <w:r w:rsidRPr="00EB7B23">
              <w:rPr>
                <w:rFonts w:cs="Arial"/>
                <w:sz w:val="22"/>
                <w:szCs w:val="22"/>
              </w:rPr>
              <w:t xml:space="preserve"> to a qualified attorney licensed to practice in that jurisdiction. The same is true of government projects </w:t>
            </w:r>
            <w:proofErr w:type="gramStart"/>
            <w:r w:rsidRPr="00EB7B23">
              <w:rPr>
                <w:rFonts w:cs="Arial"/>
                <w:sz w:val="22"/>
                <w:szCs w:val="22"/>
              </w:rPr>
              <w:t>located</w:t>
            </w:r>
            <w:proofErr w:type="gramEnd"/>
            <w:r w:rsidRPr="00EB7B23">
              <w:rPr>
                <w:rFonts w:cs="Arial"/>
                <w:sz w:val="22"/>
                <w:szCs w:val="22"/>
              </w:rPr>
              <w:t xml:space="preserve"> out-of-state. </w:t>
            </w:r>
          </w:p>
          <w:p w14:paraId="3089FF98" w14:textId="41D1A4D7" w:rsidR="00CC270F" w:rsidRPr="00EB7B23" w:rsidRDefault="00CC270F" w:rsidP="000930E8">
            <w:pPr>
              <w:pStyle w:val="BodyTextIndent2"/>
              <w:spacing w:before="60" w:after="60"/>
              <w:ind w:firstLine="0"/>
              <w:jc w:val="left"/>
              <w:rPr>
                <w:rFonts w:cs="Arial"/>
                <w:sz w:val="22"/>
                <w:szCs w:val="22"/>
              </w:rPr>
            </w:pPr>
            <w:r w:rsidRPr="00EB7B23">
              <w:rPr>
                <w:rFonts w:cs="Arial"/>
                <w:sz w:val="22"/>
                <w:szCs w:val="22"/>
              </w:rPr>
              <w:t xml:space="preserve">If the project </w:t>
            </w:r>
            <w:proofErr w:type="gramStart"/>
            <w:r w:rsidRPr="00EB7B23">
              <w:rPr>
                <w:rFonts w:cs="Arial"/>
                <w:sz w:val="22"/>
                <w:szCs w:val="22"/>
              </w:rPr>
              <w:t>is owned</w:t>
            </w:r>
            <w:proofErr w:type="gramEnd"/>
            <w:r w:rsidRPr="00EB7B23">
              <w:rPr>
                <w:rFonts w:cs="Arial"/>
                <w:sz w:val="22"/>
                <w:szCs w:val="22"/>
              </w:rPr>
              <w:t xml:space="preserve"> by a state or local agency or body outside of Oregon, the claim will likely </w:t>
            </w:r>
            <w:proofErr w:type="gramStart"/>
            <w:r w:rsidRPr="00EB7B23">
              <w:rPr>
                <w:rFonts w:cs="Arial"/>
                <w:sz w:val="22"/>
                <w:szCs w:val="22"/>
              </w:rPr>
              <w:t>be governed</w:t>
            </w:r>
            <w:proofErr w:type="gramEnd"/>
            <w:r w:rsidRPr="00EB7B23">
              <w:rPr>
                <w:rFonts w:cs="Arial"/>
                <w:sz w:val="22"/>
                <w:szCs w:val="22"/>
              </w:rPr>
              <w:t xml:space="preserve"> by that state’s particular “Little Miller Act.”  For federal projects outside Oregon, the Oregon attorney could issue the proper Miller Act Notice (subject to ethical and </w:t>
            </w:r>
            <w:proofErr w:type="gramStart"/>
            <w:r w:rsidRPr="00EB7B23">
              <w:rPr>
                <w:rFonts w:cs="Arial"/>
                <w:sz w:val="22"/>
                <w:szCs w:val="22"/>
              </w:rPr>
              <w:t>professional insurance</w:t>
            </w:r>
            <w:proofErr w:type="gramEnd"/>
            <w:r w:rsidRPr="00EB7B23">
              <w:rPr>
                <w:rFonts w:cs="Arial"/>
                <w:sz w:val="22"/>
                <w:szCs w:val="22"/>
              </w:rPr>
              <w:t xml:space="preserve"> considerations) but filing suit on the </w:t>
            </w:r>
            <w:r w:rsidR="009E241C">
              <w:rPr>
                <w:rFonts w:cs="Arial"/>
                <w:sz w:val="22"/>
                <w:szCs w:val="22"/>
              </w:rPr>
              <w:t xml:space="preserve">statutory </w:t>
            </w:r>
            <w:r w:rsidRPr="00EB7B23">
              <w:rPr>
                <w:rFonts w:cs="Arial"/>
                <w:sz w:val="22"/>
                <w:szCs w:val="22"/>
              </w:rPr>
              <w:t>bond may require associating with an attorney in that jurisdiction.</w:t>
            </w:r>
          </w:p>
        </w:tc>
      </w:tr>
      <w:tr w:rsidR="00CC270F" w:rsidRPr="00EB7B23" w14:paraId="14732DFC" w14:textId="77777777" w:rsidTr="00A35D8B">
        <w:tc>
          <w:tcPr>
            <w:tcW w:w="9535" w:type="dxa"/>
            <w:gridSpan w:val="4"/>
            <w:shd w:val="clear" w:color="auto" w:fill="000000" w:themeFill="text1"/>
          </w:tcPr>
          <w:p w14:paraId="7BFC2DBA" w14:textId="77777777" w:rsidR="00CC270F" w:rsidRPr="00EB7B23" w:rsidRDefault="00CC270F" w:rsidP="000930E8">
            <w:pPr>
              <w:numPr>
                <w:ilvl w:val="0"/>
                <w:numId w:val="6"/>
              </w:numPr>
              <w:tabs>
                <w:tab w:val="left" w:pos="-1440"/>
              </w:tabs>
              <w:jc w:val="center"/>
              <w:rPr>
                <w:rFonts w:cs="Arial"/>
                <w:b/>
                <w:sz w:val="22"/>
                <w:szCs w:val="22"/>
              </w:rPr>
            </w:pPr>
            <w:r w:rsidRPr="00EB7B23">
              <w:rPr>
                <w:rFonts w:cs="Arial"/>
                <w:b/>
                <w:sz w:val="22"/>
                <w:szCs w:val="22"/>
              </w:rPr>
              <w:t>Is the client a licensed contractor or professional?</w:t>
            </w:r>
          </w:p>
        </w:tc>
      </w:tr>
      <w:tr w:rsidR="00CC270F" w:rsidRPr="00EB7B23" w14:paraId="02D07D6B" w14:textId="77777777" w:rsidTr="00A35D8B">
        <w:tc>
          <w:tcPr>
            <w:tcW w:w="9535" w:type="dxa"/>
            <w:gridSpan w:val="4"/>
          </w:tcPr>
          <w:p w14:paraId="27579DF4" w14:textId="4B74EDFA" w:rsidR="00CC270F" w:rsidRDefault="00CC270F" w:rsidP="000930E8">
            <w:pPr>
              <w:spacing w:before="60" w:after="60"/>
              <w:rPr>
                <w:rFonts w:cs="Arial"/>
                <w:sz w:val="22"/>
                <w:szCs w:val="22"/>
              </w:rPr>
            </w:pPr>
            <w:r w:rsidRPr="00EB7B23">
              <w:rPr>
                <w:rFonts w:cs="Arial"/>
                <w:sz w:val="22"/>
                <w:szCs w:val="22"/>
              </w:rPr>
              <w:t>If the claim is for work for which licensing with the Oregon Construction Contractors Board (“</w:t>
            </w:r>
            <w:proofErr w:type="spellStart"/>
            <w:r w:rsidRPr="00EB7B23">
              <w:rPr>
                <w:rFonts w:cs="Arial"/>
                <w:sz w:val="22"/>
                <w:szCs w:val="22"/>
              </w:rPr>
              <w:t>CCB</w:t>
            </w:r>
            <w:proofErr w:type="spellEnd"/>
            <w:r w:rsidRPr="00EB7B23">
              <w:rPr>
                <w:rFonts w:cs="Arial"/>
                <w:sz w:val="22"/>
                <w:szCs w:val="22"/>
              </w:rPr>
              <w:t xml:space="preserve">”) is required (see definition of “contractor” under ORS 701.005(5) and exemptions under ORS 701.010), then being licensed with the correct endorsement under ORS 701.021 is a prerequisite to pursuing a lien or bond claim.  In general terms, construction contractors must </w:t>
            </w:r>
            <w:proofErr w:type="gramStart"/>
            <w:r w:rsidRPr="00EB7B23">
              <w:rPr>
                <w:rFonts w:cs="Arial"/>
                <w:sz w:val="22"/>
                <w:szCs w:val="22"/>
              </w:rPr>
              <w:t>be licensed</w:t>
            </w:r>
            <w:proofErr w:type="gramEnd"/>
            <w:r w:rsidRPr="00EB7B23">
              <w:rPr>
                <w:rFonts w:cs="Arial"/>
                <w:sz w:val="22"/>
                <w:szCs w:val="22"/>
              </w:rPr>
              <w:t xml:space="preserve"> with the </w:t>
            </w:r>
            <w:proofErr w:type="spellStart"/>
            <w:r w:rsidRPr="00EB7B23">
              <w:rPr>
                <w:rFonts w:cs="Arial"/>
                <w:sz w:val="22"/>
                <w:szCs w:val="22"/>
              </w:rPr>
              <w:t>CCB</w:t>
            </w:r>
            <w:proofErr w:type="spellEnd"/>
            <w:r w:rsidRPr="00EB7B23">
              <w:rPr>
                <w:rFonts w:cs="Arial"/>
                <w:sz w:val="22"/>
                <w:szCs w:val="22"/>
              </w:rPr>
              <w:t xml:space="preserve"> to </w:t>
            </w:r>
            <w:proofErr w:type="gramStart"/>
            <w:r w:rsidRPr="00EB7B23">
              <w:rPr>
                <w:rFonts w:cs="Arial"/>
                <w:sz w:val="22"/>
                <w:szCs w:val="22"/>
              </w:rPr>
              <w:t>be entitled</w:t>
            </w:r>
            <w:proofErr w:type="gramEnd"/>
            <w:r w:rsidRPr="00EB7B23">
              <w:rPr>
                <w:rFonts w:cs="Arial"/>
                <w:sz w:val="22"/>
                <w:szCs w:val="22"/>
              </w:rPr>
              <w:t xml:space="preserve"> to pursue a construction </w:t>
            </w:r>
            <w:proofErr w:type="gramStart"/>
            <w:r w:rsidRPr="00EB7B23">
              <w:rPr>
                <w:rFonts w:cs="Arial"/>
                <w:sz w:val="22"/>
                <w:szCs w:val="22"/>
              </w:rPr>
              <w:t>lien</w:t>
            </w:r>
            <w:proofErr w:type="gramEnd"/>
            <w:r w:rsidRPr="00EB7B23">
              <w:rPr>
                <w:rFonts w:cs="Arial"/>
                <w:sz w:val="22"/>
                <w:szCs w:val="22"/>
              </w:rPr>
              <w:t xml:space="preserve"> or any other claim in court or arbitration. ORS 701.131.  There may be certain </w:t>
            </w:r>
            <w:proofErr w:type="gramStart"/>
            <w:r w:rsidRPr="00EB7B23">
              <w:rPr>
                <w:rFonts w:cs="Arial"/>
                <w:sz w:val="22"/>
                <w:szCs w:val="22"/>
              </w:rPr>
              <w:t>exemptions</w:t>
            </w:r>
            <w:proofErr w:type="gramEnd"/>
            <w:r w:rsidRPr="00EB7B23">
              <w:rPr>
                <w:rFonts w:cs="Arial"/>
                <w:sz w:val="22"/>
                <w:szCs w:val="22"/>
              </w:rPr>
              <w:t xml:space="preserve">, however, those </w:t>
            </w:r>
            <w:proofErr w:type="gramStart"/>
            <w:r w:rsidRPr="00EB7B23">
              <w:rPr>
                <w:rFonts w:cs="Arial"/>
                <w:sz w:val="22"/>
                <w:szCs w:val="22"/>
              </w:rPr>
              <w:t>are limited</w:t>
            </w:r>
            <w:proofErr w:type="gramEnd"/>
            <w:r w:rsidRPr="00EB7B23">
              <w:rPr>
                <w:rFonts w:cs="Arial"/>
                <w:sz w:val="22"/>
                <w:szCs w:val="22"/>
              </w:rPr>
              <w:t xml:space="preserve">. </w:t>
            </w:r>
            <w:r w:rsidRPr="00EB7B23">
              <w:rPr>
                <w:rFonts w:cs="Arial"/>
                <w:i/>
                <w:sz w:val="22"/>
                <w:szCs w:val="22"/>
              </w:rPr>
              <w:t>Id. at (2).</w:t>
            </w:r>
            <w:r w:rsidRPr="00EB7B23">
              <w:rPr>
                <w:rFonts w:cs="Arial"/>
                <w:iCs/>
                <w:sz w:val="22"/>
                <w:szCs w:val="22"/>
              </w:rPr>
              <w:t xml:space="preserve"> Similar statutes apply to construction professionals, such as architects and landscape architects.</w:t>
            </w:r>
            <w:r w:rsidRPr="00EB7B23">
              <w:rPr>
                <w:rFonts w:cs="Arial"/>
                <w:sz w:val="22"/>
                <w:szCs w:val="22"/>
              </w:rPr>
              <w:t xml:space="preserve"> Certain construction trades, such as electricians and plumbers, have </w:t>
            </w:r>
            <w:proofErr w:type="gramStart"/>
            <w:r w:rsidRPr="00EB7B23">
              <w:rPr>
                <w:rFonts w:cs="Arial"/>
                <w:sz w:val="22"/>
                <w:szCs w:val="22"/>
              </w:rPr>
              <w:t>additional</w:t>
            </w:r>
            <w:proofErr w:type="gramEnd"/>
            <w:r w:rsidRPr="00EB7B23">
              <w:rPr>
                <w:rFonts w:cs="Arial"/>
                <w:sz w:val="22"/>
                <w:szCs w:val="22"/>
              </w:rPr>
              <w:t xml:space="preserve"> licensing requirements, and will </w:t>
            </w:r>
            <w:proofErr w:type="gramStart"/>
            <w:r w:rsidRPr="00EB7B23">
              <w:rPr>
                <w:rFonts w:cs="Arial"/>
                <w:sz w:val="22"/>
                <w:szCs w:val="22"/>
              </w:rPr>
              <w:t>be barred</w:t>
            </w:r>
            <w:proofErr w:type="gramEnd"/>
            <w:r w:rsidRPr="00EB7B23">
              <w:rPr>
                <w:rFonts w:cs="Arial"/>
                <w:sz w:val="22"/>
                <w:szCs w:val="22"/>
              </w:rPr>
              <w:t xml:space="preserve"> from pursuing such legal remedies if they do not hold valid </w:t>
            </w:r>
            <w:proofErr w:type="gramStart"/>
            <w:r w:rsidRPr="00EB7B23">
              <w:rPr>
                <w:rFonts w:cs="Arial"/>
                <w:sz w:val="22"/>
                <w:szCs w:val="22"/>
              </w:rPr>
              <w:t>additional</w:t>
            </w:r>
            <w:proofErr w:type="gramEnd"/>
            <w:r w:rsidRPr="00EB7B23">
              <w:rPr>
                <w:rFonts w:cs="Arial"/>
                <w:sz w:val="22"/>
                <w:szCs w:val="22"/>
              </w:rPr>
              <w:t xml:space="preserve"> licenses for those trades. Also, some trade and professional licensure or registration statutes require the claimant to “plead and prove” licensure in litigation. An outline of the various laws and agencies affecting contractors can </w:t>
            </w:r>
            <w:proofErr w:type="gramStart"/>
            <w:r w:rsidRPr="00EB7B23">
              <w:rPr>
                <w:rFonts w:cs="Arial"/>
                <w:sz w:val="22"/>
                <w:szCs w:val="22"/>
              </w:rPr>
              <w:t>be found</w:t>
            </w:r>
            <w:proofErr w:type="gramEnd"/>
            <w:r w:rsidRPr="00EB7B23">
              <w:rPr>
                <w:rFonts w:cs="Arial"/>
                <w:sz w:val="22"/>
                <w:szCs w:val="22"/>
              </w:rPr>
              <w:t xml:space="preserve"> in publications available from the </w:t>
            </w:r>
            <w:proofErr w:type="spellStart"/>
            <w:r w:rsidRPr="00EB7B23">
              <w:rPr>
                <w:rFonts w:cs="Arial"/>
                <w:sz w:val="22"/>
                <w:szCs w:val="22"/>
              </w:rPr>
              <w:t>CCB</w:t>
            </w:r>
            <w:proofErr w:type="spellEnd"/>
            <w:r w:rsidRPr="00EB7B23">
              <w:rPr>
                <w:rFonts w:cs="Arial"/>
                <w:sz w:val="22"/>
                <w:szCs w:val="22"/>
              </w:rPr>
              <w:t>.</w:t>
            </w:r>
            <w:r w:rsidR="0007602D" w:rsidRPr="00EB7B23">
              <w:rPr>
                <w:rFonts w:cs="Arial"/>
                <w:sz w:val="22"/>
                <w:szCs w:val="22"/>
              </w:rPr>
              <w:t xml:space="preserve">  See also Oregon Statutory Time Limitations (PLF &amp; OSB Legal Pubs 2022 ed.), §17.4 LICENSURE OR REGISTRATION.</w:t>
            </w:r>
          </w:p>
          <w:p w14:paraId="5756BE1C" w14:textId="77777777" w:rsidR="00EB7B23" w:rsidRPr="00EB7B23" w:rsidRDefault="00EB7B23" w:rsidP="000930E8">
            <w:pPr>
              <w:spacing w:before="60" w:after="60"/>
              <w:rPr>
                <w:rFonts w:cs="Arial"/>
                <w:sz w:val="22"/>
                <w:szCs w:val="22"/>
              </w:rPr>
            </w:pPr>
          </w:p>
          <w:p w14:paraId="67535428" w14:textId="2DA013BB" w:rsidR="00CC270F" w:rsidRPr="00EB7B23" w:rsidRDefault="00CC270F" w:rsidP="000930E8">
            <w:pPr>
              <w:tabs>
                <w:tab w:val="left" w:pos="-1440"/>
              </w:tabs>
              <w:rPr>
                <w:rFonts w:cs="Arial"/>
                <w:sz w:val="22"/>
                <w:szCs w:val="22"/>
              </w:rPr>
            </w:pPr>
            <w:r w:rsidRPr="00EB7B23">
              <w:rPr>
                <w:rFonts w:cs="Arial"/>
                <w:sz w:val="22"/>
                <w:szCs w:val="22"/>
              </w:rPr>
              <w:t>For bond claims on state and local projects, the licensing requirements applicable to claimants under Oregon’s Little Miller Act are generally equivalent to those under the construction lien statutes. For federal projects, being a non-licensed contractor is not necessarily an absolute bar</w:t>
            </w:r>
            <w:r w:rsidR="009E241C">
              <w:rPr>
                <w:rFonts w:cs="Arial"/>
                <w:sz w:val="22"/>
                <w:szCs w:val="22"/>
              </w:rPr>
              <w:t xml:space="preserve"> because</w:t>
            </w:r>
            <w:r w:rsidRPr="00EB7B23">
              <w:rPr>
                <w:rFonts w:cs="Arial"/>
                <w:sz w:val="22"/>
                <w:szCs w:val="22"/>
              </w:rPr>
              <w:t xml:space="preserve"> work on a site under the jurisdiction of the federal government is exempt from the Oregon contractor licensing statutes. ORS 701.010(2).</w:t>
            </w:r>
          </w:p>
        </w:tc>
      </w:tr>
      <w:tr w:rsidR="00CC270F" w:rsidRPr="00EB7B23" w14:paraId="1CCCA040" w14:textId="77777777" w:rsidTr="00A35D8B">
        <w:tc>
          <w:tcPr>
            <w:tcW w:w="9535" w:type="dxa"/>
            <w:gridSpan w:val="4"/>
            <w:shd w:val="clear" w:color="auto" w:fill="000000" w:themeFill="text1"/>
          </w:tcPr>
          <w:p w14:paraId="13682127" w14:textId="77777777" w:rsidR="00CC270F" w:rsidRPr="00EB7B23" w:rsidRDefault="00CC270F" w:rsidP="00855AE1">
            <w:pPr>
              <w:numPr>
                <w:ilvl w:val="0"/>
                <w:numId w:val="6"/>
              </w:numPr>
              <w:tabs>
                <w:tab w:val="left" w:pos="-1440"/>
              </w:tabs>
              <w:jc w:val="center"/>
              <w:rPr>
                <w:rFonts w:cs="Arial"/>
                <w:b/>
                <w:sz w:val="22"/>
                <w:szCs w:val="22"/>
              </w:rPr>
            </w:pPr>
            <w:r w:rsidRPr="00EB7B23">
              <w:rPr>
                <w:rFonts w:cs="Arial"/>
                <w:b/>
                <w:sz w:val="22"/>
                <w:szCs w:val="22"/>
              </w:rPr>
              <w:t>Is the project private or public?</w:t>
            </w:r>
          </w:p>
        </w:tc>
      </w:tr>
      <w:tr w:rsidR="00CC270F" w:rsidRPr="00EB7B23" w14:paraId="69DA4FC2" w14:textId="77777777" w:rsidTr="00A35D8B">
        <w:tc>
          <w:tcPr>
            <w:tcW w:w="9535" w:type="dxa"/>
            <w:gridSpan w:val="4"/>
          </w:tcPr>
          <w:p w14:paraId="712C81E0" w14:textId="7121AB45" w:rsidR="00CC270F" w:rsidRPr="00EB7B23" w:rsidRDefault="00CC270F" w:rsidP="000930E8">
            <w:pPr>
              <w:tabs>
                <w:tab w:val="left" w:pos="-1440"/>
              </w:tabs>
              <w:rPr>
                <w:rFonts w:cs="Arial"/>
                <w:sz w:val="22"/>
                <w:szCs w:val="22"/>
              </w:rPr>
            </w:pPr>
            <w:r w:rsidRPr="00EB7B23">
              <w:rPr>
                <w:rFonts w:cs="Arial"/>
                <w:sz w:val="22"/>
                <w:szCs w:val="22"/>
              </w:rPr>
              <w:t xml:space="preserve">If the property </w:t>
            </w:r>
            <w:proofErr w:type="gramStart"/>
            <w:r w:rsidRPr="00EB7B23">
              <w:rPr>
                <w:rFonts w:cs="Arial"/>
                <w:sz w:val="22"/>
                <w:szCs w:val="22"/>
              </w:rPr>
              <w:t>is owned</w:t>
            </w:r>
            <w:proofErr w:type="gramEnd"/>
            <w:r w:rsidRPr="00EB7B23">
              <w:rPr>
                <w:rFonts w:cs="Arial"/>
                <w:sz w:val="22"/>
                <w:szCs w:val="22"/>
              </w:rPr>
              <w:t xml:space="preserve"> privately (not by the federal, state, or local government, or any subdivision of the same), then the claimant’s remedy is to file a </w:t>
            </w:r>
            <w:r w:rsidRPr="00EB7B23">
              <w:rPr>
                <w:rFonts w:cs="Arial"/>
                <w:b/>
                <w:sz w:val="22"/>
                <w:szCs w:val="22"/>
              </w:rPr>
              <w:t>construction lien claim</w:t>
            </w:r>
            <w:r w:rsidRPr="00EB7B23">
              <w:rPr>
                <w:rFonts w:cs="Arial"/>
                <w:sz w:val="22"/>
                <w:szCs w:val="22"/>
              </w:rPr>
              <w:t>. If the Project is public, then the claimant’s remedy is to file a</w:t>
            </w:r>
            <w:r w:rsidR="009E241C">
              <w:rPr>
                <w:rFonts w:cs="Arial"/>
                <w:sz w:val="22"/>
                <w:szCs w:val="22"/>
              </w:rPr>
              <w:t xml:space="preserve"> statutory</w:t>
            </w:r>
            <w:r w:rsidRPr="00EB7B23">
              <w:rPr>
                <w:rFonts w:cs="Arial"/>
                <w:sz w:val="22"/>
                <w:szCs w:val="22"/>
              </w:rPr>
              <w:t xml:space="preserve"> </w:t>
            </w:r>
            <w:r w:rsidRPr="00EB7B23">
              <w:rPr>
                <w:rFonts w:cs="Arial"/>
                <w:b/>
                <w:sz w:val="22"/>
                <w:szCs w:val="22"/>
              </w:rPr>
              <w:t>bond claim</w:t>
            </w:r>
            <w:r w:rsidRPr="00EB7B23">
              <w:rPr>
                <w:rFonts w:cs="Arial"/>
                <w:sz w:val="22"/>
                <w:szCs w:val="22"/>
              </w:rPr>
              <w:t xml:space="preserve">, either under the Miller Act (for federal projects) or under the Little Miller Act (for Oregon projects). Yet, to the extent that the public owner has given up an interest in its property, such as a leasehold or right-of-way, that private interest in public property may be subject to a construction </w:t>
            </w:r>
            <w:proofErr w:type="gramStart"/>
            <w:r w:rsidRPr="00EB7B23">
              <w:rPr>
                <w:rFonts w:cs="Arial"/>
                <w:sz w:val="22"/>
                <w:szCs w:val="22"/>
              </w:rPr>
              <w:t>lien</w:t>
            </w:r>
            <w:proofErr w:type="gramEnd"/>
            <w:r w:rsidRPr="00EB7B23">
              <w:rPr>
                <w:rFonts w:cs="Arial"/>
                <w:sz w:val="22"/>
                <w:szCs w:val="22"/>
              </w:rPr>
              <w:t>.</w:t>
            </w:r>
          </w:p>
          <w:p w14:paraId="537F6B48" w14:textId="77777777" w:rsidR="00CC270F" w:rsidRPr="00EB7B23" w:rsidRDefault="00CC270F" w:rsidP="000930E8">
            <w:pPr>
              <w:tabs>
                <w:tab w:val="left" w:pos="-1440"/>
              </w:tabs>
              <w:rPr>
                <w:rFonts w:cs="Arial"/>
                <w:sz w:val="22"/>
                <w:szCs w:val="22"/>
              </w:rPr>
            </w:pPr>
          </w:p>
          <w:p w14:paraId="5A437B34" w14:textId="77777777" w:rsidR="00CC270F" w:rsidRPr="00EB7B23" w:rsidRDefault="00CC270F" w:rsidP="000930E8">
            <w:pPr>
              <w:tabs>
                <w:tab w:val="left" w:pos="-1440"/>
              </w:tabs>
              <w:rPr>
                <w:rFonts w:cs="Arial"/>
                <w:sz w:val="22"/>
                <w:szCs w:val="22"/>
              </w:rPr>
            </w:pPr>
            <w:r w:rsidRPr="00EB7B23">
              <w:rPr>
                <w:rFonts w:cs="Arial"/>
                <w:sz w:val="22"/>
                <w:szCs w:val="22"/>
              </w:rPr>
              <w:t>ORS 87.010 describes protected parties and the activities that give rise to construction lien rights under Oregon’s construction Lien Law (ORS 87.001 et seq.). See Appendix B Summary of Steps and Checklist for Oregon Construction Liens.</w:t>
            </w:r>
          </w:p>
        </w:tc>
      </w:tr>
      <w:tr w:rsidR="00CC270F" w:rsidRPr="00EB7B23" w14:paraId="6D026D7E" w14:textId="77777777" w:rsidTr="00A35D8B">
        <w:tc>
          <w:tcPr>
            <w:tcW w:w="9535" w:type="dxa"/>
            <w:gridSpan w:val="4"/>
            <w:shd w:val="clear" w:color="auto" w:fill="000000" w:themeFill="text1"/>
          </w:tcPr>
          <w:p w14:paraId="7732A575" w14:textId="77777777" w:rsidR="00CC270F" w:rsidRPr="00EB7B23" w:rsidRDefault="00CC270F" w:rsidP="00855AE1">
            <w:pPr>
              <w:numPr>
                <w:ilvl w:val="0"/>
                <w:numId w:val="6"/>
              </w:numPr>
              <w:tabs>
                <w:tab w:val="left" w:pos="-1440"/>
              </w:tabs>
              <w:jc w:val="center"/>
              <w:rPr>
                <w:rFonts w:cs="Arial"/>
                <w:b/>
                <w:sz w:val="22"/>
                <w:szCs w:val="22"/>
              </w:rPr>
            </w:pPr>
            <w:r w:rsidRPr="00EB7B23">
              <w:rPr>
                <w:rFonts w:cs="Arial"/>
                <w:b/>
                <w:sz w:val="22"/>
                <w:szCs w:val="22"/>
              </w:rPr>
              <w:t>If the project is public, is the claimant a protected party who can assert a claim against the bond?</w:t>
            </w:r>
          </w:p>
        </w:tc>
      </w:tr>
      <w:tr w:rsidR="00CC270F" w:rsidRPr="00EB7B23" w14:paraId="5D4EC736" w14:textId="77777777" w:rsidTr="00A35D8B">
        <w:tc>
          <w:tcPr>
            <w:tcW w:w="9535" w:type="dxa"/>
            <w:gridSpan w:val="4"/>
          </w:tcPr>
          <w:p w14:paraId="112F5B82" w14:textId="77777777" w:rsidR="00CC270F" w:rsidRPr="00EB7B23" w:rsidRDefault="00CC270F" w:rsidP="000930E8">
            <w:pPr>
              <w:tabs>
                <w:tab w:val="left" w:pos="-1440"/>
              </w:tabs>
              <w:rPr>
                <w:rFonts w:cs="Arial"/>
                <w:sz w:val="22"/>
                <w:szCs w:val="22"/>
              </w:rPr>
            </w:pPr>
            <w:r w:rsidRPr="00EB7B23">
              <w:rPr>
                <w:rFonts w:cs="Arial"/>
                <w:sz w:val="22"/>
                <w:szCs w:val="22"/>
              </w:rPr>
              <w:t>The protected parties under Oregon’s Little Miller Act includes suppliers and subcontractors, no matter how “remote” to the prime contractor. See Appendix C Summary of Steps and Checklist for Oregon Public Works Claim.</w:t>
            </w:r>
          </w:p>
          <w:p w14:paraId="60D650E2" w14:textId="77777777" w:rsidR="00CC270F" w:rsidRPr="00EB7B23" w:rsidRDefault="00CC270F" w:rsidP="000930E8">
            <w:pPr>
              <w:tabs>
                <w:tab w:val="left" w:pos="-1440"/>
              </w:tabs>
              <w:rPr>
                <w:rFonts w:cs="Arial"/>
                <w:sz w:val="22"/>
                <w:szCs w:val="22"/>
              </w:rPr>
            </w:pPr>
          </w:p>
          <w:p w14:paraId="18E9D2F5" w14:textId="77777777" w:rsidR="00CC270F" w:rsidRPr="00EB7B23" w:rsidRDefault="00CC270F" w:rsidP="000930E8">
            <w:pPr>
              <w:tabs>
                <w:tab w:val="left" w:pos="-1440"/>
              </w:tabs>
              <w:rPr>
                <w:rFonts w:cs="Arial"/>
                <w:sz w:val="22"/>
                <w:szCs w:val="22"/>
              </w:rPr>
            </w:pPr>
            <w:r w:rsidRPr="00EB7B23">
              <w:rPr>
                <w:rFonts w:cs="Arial"/>
                <w:sz w:val="22"/>
                <w:szCs w:val="22"/>
              </w:rPr>
              <w:t xml:space="preserve">By contrast, the protected parties under the federal Miller Act </w:t>
            </w:r>
            <w:proofErr w:type="gramStart"/>
            <w:r w:rsidRPr="00EB7B23">
              <w:rPr>
                <w:rFonts w:cs="Arial"/>
                <w:sz w:val="22"/>
                <w:szCs w:val="22"/>
              </w:rPr>
              <w:t>are limited</w:t>
            </w:r>
            <w:proofErr w:type="gramEnd"/>
            <w:r w:rsidRPr="00EB7B23">
              <w:rPr>
                <w:rFonts w:cs="Arial"/>
                <w:sz w:val="22"/>
                <w:szCs w:val="22"/>
              </w:rPr>
              <w:t xml:space="preserve"> as follows:</w:t>
            </w:r>
          </w:p>
        </w:tc>
      </w:tr>
      <w:tr w:rsidR="00CC270F" w:rsidRPr="00EB7B23" w14:paraId="7367791C" w14:textId="77777777" w:rsidTr="00A35D8B">
        <w:tc>
          <w:tcPr>
            <w:tcW w:w="9535" w:type="dxa"/>
            <w:gridSpan w:val="4"/>
            <w:shd w:val="clear" w:color="auto" w:fill="BFBFBF" w:themeFill="background1" w:themeFillShade="BF"/>
            <w:vAlign w:val="center"/>
          </w:tcPr>
          <w:p w14:paraId="323D4406" w14:textId="77777777" w:rsidR="00CC270F" w:rsidRPr="00EB7B23" w:rsidRDefault="00CC270F" w:rsidP="00855AE1">
            <w:pPr>
              <w:tabs>
                <w:tab w:val="left" w:pos="-1440"/>
              </w:tabs>
              <w:jc w:val="center"/>
              <w:rPr>
                <w:rFonts w:cs="Arial"/>
                <w:b/>
                <w:sz w:val="22"/>
                <w:szCs w:val="22"/>
              </w:rPr>
            </w:pPr>
            <w:r w:rsidRPr="00EB7B23">
              <w:rPr>
                <w:rFonts w:cs="Arial"/>
                <w:b/>
                <w:sz w:val="22"/>
                <w:szCs w:val="22"/>
              </w:rPr>
              <w:lastRenderedPageBreak/>
              <w:t>Federal Government</w:t>
            </w:r>
          </w:p>
        </w:tc>
      </w:tr>
      <w:tr w:rsidR="00CC270F" w:rsidRPr="00EB7B23" w14:paraId="46257684" w14:textId="77777777" w:rsidTr="00A35D8B">
        <w:tc>
          <w:tcPr>
            <w:tcW w:w="9535" w:type="dxa"/>
            <w:gridSpan w:val="4"/>
            <w:shd w:val="clear" w:color="auto" w:fill="BFBFBF" w:themeFill="background1" w:themeFillShade="BF"/>
            <w:vAlign w:val="center"/>
          </w:tcPr>
          <w:p w14:paraId="639E2CB1" w14:textId="77777777" w:rsidR="00CC270F" w:rsidRPr="00EB7B23" w:rsidRDefault="00CC270F" w:rsidP="00855AE1">
            <w:pPr>
              <w:tabs>
                <w:tab w:val="left" w:pos="-1440"/>
              </w:tabs>
              <w:jc w:val="center"/>
              <w:rPr>
                <w:rFonts w:cs="Arial"/>
                <w:b/>
                <w:sz w:val="22"/>
                <w:szCs w:val="22"/>
              </w:rPr>
            </w:pPr>
            <w:r w:rsidRPr="00EB7B23">
              <w:rPr>
                <w:rFonts w:cs="Arial"/>
                <w:b/>
                <w:sz w:val="22"/>
                <w:szCs w:val="22"/>
              </w:rPr>
              <w:t>Prime Contractor</w:t>
            </w:r>
          </w:p>
        </w:tc>
      </w:tr>
      <w:tr w:rsidR="00CC270F" w:rsidRPr="00EB7B23" w14:paraId="0F7E6FAE" w14:textId="77777777" w:rsidTr="00A35D8B">
        <w:tc>
          <w:tcPr>
            <w:tcW w:w="4428" w:type="dxa"/>
            <w:gridSpan w:val="2"/>
            <w:shd w:val="clear" w:color="auto" w:fill="BFBFBF" w:themeFill="background1" w:themeFillShade="BF"/>
            <w:vAlign w:val="center"/>
          </w:tcPr>
          <w:p w14:paraId="2640753B" w14:textId="77777777" w:rsidR="00CC270F" w:rsidRPr="00EB7B23" w:rsidRDefault="000E28BB" w:rsidP="00855AE1">
            <w:pPr>
              <w:tabs>
                <w:tab w:val="left" w:pos="-1440"/>
              </w:tabs>
              <w:jc w:val="center"/>
              <w:rPr>
                <w:rFonts w:cs="Arial"/>
                <w:b/>
                <w:sz w:val="22"/>
                <w:szCs w:val="22"/>
              </w:rPr>
            </w:pPr>
            <w:r w:rsidRPr="00EB7B23">
              <w:rPr>
                <w:rFonts w:cs="Arial"/>
                <w:b/>
                <w:sz w:val="22"/>
                <w:szCs w:val="22"/>
              </w:rPr>
              <w:t>First-</w:t>
            </w:r>
            <w:r w:rsidR="00CC270F" w:rsidRPr="00EB7B23">
              <w:rPr>
                <w:rFonts w:cs="Arial"/>
                <w:b/>
                <w:sz w:val="22"/>
                <w:szCs w:val="22"/>
              </w:rPr>
              <w:t>Tier Supplier</w:t>
            </w:r>
          </w:p>
        </w:tc>
        <w:tc>
          <w:tcPr>
            <w:tcW w:w="5107" w:type="dxa"/>
            <w:gridSpan w:val="2"/>
            <w:shd w:val="clear" w:color="auto" w:fill="BFBFBF" w:themeFill="background1" w:themeFillShade="BF"/>
            <w:vAlign w:val="center"/>
          </w:tcPr>
          <w:p w14:paraId="11DE12A8" w14:textId="77777777" w:rsidR="00CC270F" w:rsidRPr="00EB7B23" w:rsidRDefault="00CC270F" w:rsidP="00855AE1">
            <w:pPr>
              <w:tabs>
                <w:tab w:val="left" w:pos="-1440"/>
              </w:tabs>
              <w:jc w:val="center"/>
              <w:rPr>
                <w:rFonts w:cs="Arial"/>
                <w:b/>
                <w:sz w:val="22"/>
                <w:szCs w:val="22"/>
              </w:rPr>
            </w:pPr>
            <w:r w:rsidRPr="00EB7B23">
              <w:rPr>
                <w:rFonts w:cs="Arial"/>
                <w:b/>
                <w:sz w:val="22"/>
                <w:szCs w:val="22"/>
              </w:rPr>
              <w:t>First-Tier Subcontractor</w:t>
            </w:r>
          </w:p>
        </w:tc>
      </w:tr>
      <w:tr w:rsidR="00CC270F" w:rsidRPr="00EB7B23" w14:paraId="77414C0C" w14:textId="77777777" w:rsidTr="00A35D8B">
        <w:tc>
          <w:tcPr>
            <w:tcW w:w="2214" w:type="dxa"/>
            <w:vAlign w:val="center"/>
          </w:tcPr>
          <w:p w14:paraId="008F25FB" w14:textId="77777777" w:rsidR="00CC270F" w:rsidRPr="00EB7B23" w:rsidRDefault="00CC270F" w:rsidP="00855AE1">
            <w:pPr>
              <w:tabs>
                <w:tab w:val="left" w:pos="-1440"/>
              </w:tabs>
              <w:jc w:val="center"/>
              <w:rPr>
                <w:rFonts w:cs="Arial"/>
                <w:sz w:val="22"/>
                <w:szCs w:val="22"/>
              </w:rPr>
            </w:pPr>
            <w:r w:rsidRPr="00EB7B23">
              <w:rPr>
                <w:rFonts w:cs="Arial"/>
                <w:sz w:val="22"/>
                <w:szCs w:val="22"/>
              </w:rPr>
              <w:t>Supplier</w:t>
            </w:r>
          </w:p>
        </w:tc>
        <w:tc>
          <w:tcPr>
            <w:tcW w:w="2214" w:type="dxa"/>
            <w:vAlign w:val="center"/>
          </w:tcPr>
          <w:p w14:paraId="0EB0B167" w14:textId="77777777" w:rsidR="00CC270F" w:rsidRPr="00EB7B23" w:rsidRDefault="00CC270F" w:rsidP="00855AE1">
            <w:pPr>
              <w:tabs>
                <w:tab w:val="left" w:pos="-1440"/>
              </w:tabs>
              <w:jc w:val="center"/>
              <w:rPr>
                <w:rFonts w:cs="Arial"/>
                <w:sz w:val="22"/>
                <w:szCs w:val="22"/>
              </w:rPr>
            </w:pPr>
            <w:r w:rsidRPr="00EB7B23">
              <w:rPr>
                <w:rFonts w:cs="Arial"/>
                <w:sz w:val="22"/>
                <w:szCs w:val="22"/>
              </w:rPr>
              <w:t>Subcontractor</w:t>
            </w:r>
          </w:p>
        </w:tc>
        <w:tc>
          <w:tcPr>
            <w:tcW w:w="2214" w:type="dxa"/>
            <w:shd w:val="clear" w:color="auto" w:fill="BFBFBF" w:themeFill="background1" w:themeFillShade="BF"/>
            <w:vAlign w:val="center"/>
          </w:tcPr>
          <w:p w14:paraId="2B927E22" w14:textId="77777777" w:rsidR="00CC270F" w:rsidRPr="00EB7B23" w:rsidRDefault="00CC270F" w:rsidP="00855AE1">
            <w:pPr>
              <w:tabs>
                <w:tab w:val="left" w:pos="-1440"/>
              </w:tabs>
              <w:jc w:val="center"/>
              <w:rPr>
                <w:rFonts w:cs="Arial"/>
                <w:b/>
                <w:sz w:val="22"/>
                <w:szCs w:val="22"/>
              </w:rPr>
            </w:pPr>
            <w:r w:rsidRPr="00EB7B23">
              <w:rPr>
                <w:rFonts w:cs="Arial"/>
                <w:b/>
                <w:sz w:val="22"/>
                <w:szCs w:val="22"/>
              </w:rPr>
              <w:t>2</w:t>
            </w:r>
            <w:r w:rsidRPr="00EB7B23">
              <w:rPr>
                <w:rFonts w:cs="Arial"/>
                <w:b/>
                <w:sz w:val="22"/>
                <w:szCs w:val="22"/>
                <w:vertAlign w:val="superscript"/>
              </w:rPr>
              <w:t>nd</w:t>
            </w:r>
            <w:r w:rsidRPr="00EB7B23">
              <w:rPr>
                <w:rFonts w:cs="Arial"/>
                <w:b/>
                <w:sz w:val="22"/>
                <w:szCs w:val="22"/>
              </w:rPr>
              <w:t xml:space="preserve"> Tier Supplier*</w:t>
            </w:r>
          </w:p>
        </w:tc>
        <w:tc>
          <w:tcPr>
            <w:tcW w:w="2893" w:type="dxa"/>
            <w:shd w:val="clear" w:color="auto" w:fill="BFBFBF" w:themeFill="background1" w:themeFillShade="BF"/>
            <w:vAlign w:val="center"/>
          </w:tcPr>
          <w:p w14:paraId="2DFDA8CB" w14:textId="77777777" w:rsidR="00CC270F" w:rsidRPr="00EB7B23" w:rsidRDefault="00CC270F" w:rsidP="00855AE1">
            <w:pPr>
              <w:tabs>
                <w:tab w:val="left" w:pos="-1440"/>
              </w:tabs>
              <w:jc w:val="center"/>
              <w:rPr>
                <w:rFonts w:cs="Arial"/>
                <w:b/>
                <w:sz w:val="22"/>
                <w:szCs w:val="22"/>
              </w:rPr>
            </w:pPr>
            <w:r w:rsidRPr="00EB7B23">
              <w:rPr>
                <w:rFonts w:cs="Arial"/>
                <w:b/>
                <w:sz w:val="22"/>
                <w:szCs w:val="22"/>
              </w:rPr>
              <w:t>2</w:t>
            </w:r>
            <w:r w:rsidRPr="00EB7B23">
              <w:rPr>
                <w:rFonts w:cs="Arial"/>
                <w:b/>
                <w:sz w:val="22"/>
                <w:szCs w:val="22"/>
                <w:vertAlign w:val="superscript"/>
              </w:rPr>
              <w:t>nd</w:t>
            </w:r>
            <w:r w:rsidRPr="00EB7B23">
              <w:rPr>
                <w:rFonts w:cs="Arial"/>
                <w:b/>
                <w:sz w:val="22"/>
                <w:szCs w:val="22"/>
              </w:rPr>
              <w:t xml:space="preserve"> Tier Subcontractor*</w:t>
            </w:r>
          </w:p>
        </w:tc>
      </w:tr>
      <w:tr w:rsidR="00CC270F" w:rsidRPr="00EB7B23" w14:paraId="7FDDF609" w14:textId="77777777" w:rsidTr="00A35D8B">
        <w:tc>
          <w:tcPr>
            <w:tcW w:w="4428" w:type="dxa"/>
            <w:gridSpan w:val="2"/>
            <w:vAlign w:val="center"/>
          </w:tcPr>
          <w:p w14:paraId="1F0F57D1" w14:textId="77777777" w:rsidR="00CC270F" w:rsidRPr="00EB7B23" w:rsidRDefault="00CC270F" w:rsidP="000930E8">
            <w:pPr>
              <w:tabs>
                <w:tab w:val="left" w:pos="-1440"/>
              </w:tabs>
              <w:rPr>
                <w:rFonts w:cs="Arial"/>
                <w:sz w:val="22"/>
                <w:szCs w:val="22"/>
              </w:rPr>
            </w:pPr>
          </w:p>
        </w:tc>
        <w:tc>
          <w:tcPr>
            <w:tcW w:w="2214" w:type="dxa"/>
            <w:vAlign w:val="center"/>
          </w:tcPr>
          <w:p w14:paraId="2AA8BAEE" w14:textId="77777777" w:rsidR="00CC270F" w:rsidRPr="00EB7B23" w:rsidRDefault="00CC270F" w:rsidP="000930E8">
            <w:pPr>
              <w:tabs>
                <w:tab w:val="left" w:pos="-1440"/>
              </w:tabs>
              <w:rPr>
                <w:rFonts w:cs="Arial"/>
                <w:sz w:val="22"/>
                <w:szCs w:val="22"/>
              </w:rPr>
            </w:pPr>
            <w:r w:rsidRPr="00EB7B23">
              <w:rPr>
                <w:rFonts w:cs="Arial"/>
                <w:sz w:val="22"/>
                <w:szCs w:val="22"/>
              </w:rPr>
              <w:t>Supplier or Subcontractor</w:t>
            </w:r>
          </w:p>
        </w:tc>
        <w:tc>
          <w:tcPr>
            <w:tcW w:w="2893" w:type="dxa"/>
            <w:vAlign w:val="center"/>
          </w:tcPr>
          <w:p w14:paraId="2617F34F" w14:textId="77777777" w:rsidR="00CC270F" w:rsidRPr="00EB7B23" w:rsidRDefault="00CC270F" w:rsidP="000930E8">
            <w:pPr>
              <w:tabs>
                <w:tab w:val="left" w:pos="-1440"/>
              </w:tabs>
              <w:rPr>
                <w:rFonts w:cs="Arial"/>
                <w:sz w:val="22"/>
                <w:szCs w:val="22"/>
              </w:rPr>
            </w:pPr>
            <w:r w:rsidRPr="00EB7B23">
              <w:rPr>
                <w:rFonts w:cs="Arial"/>
                <w:sz w:val="22"/>
                <w:szCs w:val="22"/>
              </w:rPr>
              <w:t>Supplier or Subcontractor</w:t>
            </w:r>
          </w:p>
        </w:tc>
      </w:tr>
      <w:tr w:rsidR="00CC270F" w:rsidRPr="00EB7B23" w14:paraId="3E44D7E2" w14:textId="77777777" w:rsidTr="00A35D8B">
        <w:tc>
          <w:tcPr>
            <w:tcW w:w="9535" w:type="dxa"/>
            <w:gridSpan w:val="4"/>
          </w:tcPr>
          <w:p w14:paraId="0134BD65" w14:textId="77777777" w:rsidR="005C72BE" w:rsidRPr="00EB7B23" w:rsidRDefault="005C72BE" w:rsidP="000930E8">
            <w:pPr>
              <w:tabs>
                <w:tab w:val="left" w:pos="-1440"/>
              </w:tabs>
              <w:rPr>
                <w:rFonts w:cs="Arial"/>
                <w:sz w:val="22"/>
                <w:szCs w:val="22"/>
              </w:rPr>
            </w:pPr>
          </w:p>
          <w:p w14:paraId="5F52848F" w14:textId="77777777" w:rsidR="00CC270F" w:rsidRPr="00EB7B23" w:rsidRDefault="00CC270F" w:rsidP="000930E8">
            <w:pPr>
              <w:tabs>
                <w:tab w:val="left" w:pos="-1440"/>
              </w:tabs>
              <w:rPr>
                <w:rFonts w:cs="Arial"/>
                <w:sz w:val="22"/>
                <w:szCs w:val="22"/>
              </w:rPr>
            </w:pPr>
            <w:r w:rsidRPr="00EB7B23">
              <w:rPr>
                <w:rFonts w:cs="Arial"/>
                <w:sz w:val="22"/>
                <w:szCs w:val="22"/>
              </w:rPr>
              <w:t xml:space="preserve">ONLY THE PARTIES </w:t>
            </w:r>
            <w:r w:rsidRPr="00EB7B23">
              <w:rPr>
                <w:rFonts w:cs="Arial"/>
                <w:b/>
                <w:sz w:val="22"/>
                <w:szCs w:val="22"/>
              </w:rPr>
              <w:t>ABOVE</w:t>
            </w:r>
            <w:r w:rsidRPr="00EB7B23">
              <w:rPr>
                <w:rFonts w:cs="Arial"/>
                <w:sz w:val="22"/>
                <w:szCs w:val="22"/>
              </w:rPr>
              <w:t xml:space="preserve"> IN GREY ARE PROTECTED BY A FEDERAL MILLER ACT PAYMENT BOND. THOSE IN WHITE ARE </w:t>
            </w:r>
            <w:r w:rsidRPr="00EB7B23">
              <w:rPr>
                <w:rFonts w:cs="Arial"/>
                <w:b/>
                <w:sz w:val="22"/>
                <w:szCs w:val="22"/>
              </w:rPr>
              <w:t>NOT</w:t>
            </w:r>
            <w:r w:rsidRPr="00EB7B23">
              <w:rPr>
                <w:rFonts w:cs="Arial"/>
                <w:sz w:val="22"/>
                <w:szCs w:val="22"/>
              </w:rPr>
              <w:t xml:space="preserve"> PROTECTED.</w:t>
            </w:r>
          </w:p>
          <w:p w14:paraId="7BB45CFB" w14:textId="77777777" w:rsidR="00CC270F" w:rsidRPr="00EB7B23" w:rsidRDefault="00CC270F" w:rsidP="000930E8">
            <w:pPr>
              <w:tabs>
                <w:tab w:val="left" w:pos="-1440"/>
              </w:tabs>
              <w:rPr>
                <w:rFonts w:cs="Arial"/>
                <w:sz w:val="22"/>
                <w:szCs w:val="22"/>
              </w:rPr>
            </w:pPr>
          </w:p>
          <w:p w14:paraId="515FF83A" w14:textId="77777777" w:rsidR="00CC270F" w:rsidRPr="00EB7B23" w:rsidRDefault="00CC270F" w:rsidP="000930E8">
            <w:pPr>
              <w:tabs>
                <w:tab w:val="left" w:pos="-1440"/>
              </w:tabs>
              <w:rPr>
                <w:rFonts w:cs="Arial"/>
                <w:sz w:val="22"/>
                <w:szCs w:val="22"/>
              </w:rPr>
            </w:pPr>
            <w:r w:rsidRPr="00EB7B23">
              <w:rPr>
                <w:rFonts w:cs="Arial"/>
                <w:sz w:val="22"/>
                <w:szCs w:val="22"/>
              </w:rPr>
              <w:t xml:space="preserve">*Timely written notice of claim is </w:t>
            </w:r>
            <w:proofErr w:type="gramStart"/>
            <w:r w:rsidRPr="00EB7B23">
              <w:rPr>
                <w:rFonts w:cs="Arial"/>
                <w:sz w:val="22"/>
                <w:szCs w:val="22"/>
              </w:rPr>
              <w:t>required</w:t>
            </w:r>
            <w:proofErr w:type="gramEnd"/>
            <w:r w:rsidRPr="00EB7B23">
              <w:rPr>
                <w:rFonts w:cs="Arial"/>
                <w:sz w:val="22"/>
                <w:szCs w:val="22"/>
              </w:rPr>
              <w:t>.</w:t>
            </w:r>
          </w:p>
          <w:p w14:paraId="69C2AA66" w14:textId="77777777" w:rsidR="00CC270F" w:rsidRPr="00EB7B23" w:rsidRDefault="00CC270F" w:rsidP="000930E8">
            <w:pPr>
              <w:tabs>
                <w:tab w:val="left" w:pos="-1440"/>
              </w:tabs>
              <w:rPr>
                <w:rFonts w:cs="Arial"/>
                <w:sz w:val="22"/>
                <w:szCs w:val="22"/>
              </w:rPr>
            </w:pPr>
          </w:p>
          <w:p w14:paraId="6C100962" w14:textId="77777777" w:rsidR="00CC270F" w:rsidRPr="00EB7B23" w:rsidRDefault="00CC270F" w:rsidP="000930E8">
            <w:pPr>
              <w:tabs>
                <w:tab w:val="left" w:pos="-1440"/>
              </w:tabs>
              <w:rPr>
                <w:rFonts w:cs="Arial"/>
                <w:sz w:val="22"/>
                <w:szCs w:val="22"/>
              </w:rPr>
            </w:pPr>
            <w:r w:rsidRPr="00EB7B23">
              <w:rPr>
                <w:rFonts w:cs="Arial"/>
                <w:sz w:val="22"/>
                <w:szCs w:val="22"/>
              </w:rPr>
              <w:t>See Appendix D Summary of Steps and Checklist for Federal Public Works Claim.</w:t>
            </w:r>
          </w:p>
        </w:tc>
      </w:tr>
      <w:tr w:rsidR="00CC270F" w:rsidRPr="00EB7B23" w14:paraId="083E0EB2" w14:textId="77777777" w:rsidTr="00A35D8B">
        <w:tc>
          <w:tcPr>
            <w:tcW w:w="9535" w:type="dxa"/>
            <w:gridSpan w:val="4"/>
            <w:shd w:val="clear" w:color="auto" w:fill="000000" w:themeFill="text1"/>
          </w:tcPr>
          <w:p w14:paraId="721AC680" w14:textId="77777777" w:rsidR="00CC270F" w:rsidRPr="00EB7B23" w:rsidRDefault="00CC270F" w:rsidP="00855AE1">
            <w:pPr>
              <w:numPr>
                <w:ilvl w:val="0"/>
                <w:numId w:val="6"/>
              </w:numPr>
              <w:tabs>
                <w:tab w:val="left" w:pos="-1440"/>
              </w:tabs>
              <w:jc w:val="center"/>
              <w:rPr>
                <w:rFonts w:cs="Arial"/>
                <w:b/>
                <w:sz w:val="22"/>
                <w:szCs w:val="22"/>
              </w:rPr>
            </w:pPr>
            <w:r w:rsidRPr="00EB7B23">
              <w:rPr>
                <w:rFonts w:cs="Arial"/>
                <w:b/>
                <w:sz w:val="22"/>
                <w:szCs w:val="22"/>
              </w:rPr>
              <w:t>All projects</w:t>
            </w:r>
          </w:p>
        </w:tc>
      </w:tr>
      <w:tr w:rsidR="00CC270F" w:rsidRPr="00EB7B23" w14:paraId="0AA6A0A7" w14:textId="77777777" w:rsidTr="00A35D8B">
        <w:tc>
          <w:tcPr>
            <w:tcW w:w="9535" w:type="dxa"/>
            <w:gridSpan w:val="4"/>
          </w:tcPr>
          <w:p w14:paraId="7FA1842A" w14:textId="53B8350C" w:rsidR="009E241C" w:rsidRDefault="00CC270F" w:rsidP="000930E8">
            <w:pPr>
              <w:tabs>
                <w:tab w:val="left" w:pos="-1440"/>
              </w:tabs>
              <w:rPr>
                <w:rFonts w:cs="Arial"/>
                <w:sz w:val="22"/>
                <w:szCs w:val="22"/>
              </w:rPr>
            </w:pPr>
            <w:r w:rsidRPr="00EB7B23">
              <w:rPr>
                <w:rFonts w:cs="Arial"/>
                <w:sz w:val="22"/>
                <w:szCs w:val="22"/>
              </w:rPr>
              <w:t xml:space="preserve">Review and consider contractual requirements, progress payment waivers and dispute resolution procedures that may apply to the underlying dispute. An action on a federal Miller Act bond cannot </w:t>
            </w:r>
            <w:proofErr w:type="gramStart"/>
            <w:r w:rsidRPr="00EB7B23">
              <w:rPr>
                <w:rFonts w:cs="Arial"/>
                <w:sz w:val="22"/>
                <w:szCs w:val="22"/>
              </w:rPr>
              <w:t>be waived</w:t>
            </w:r>
            <w:proofErr w:type="gramEnd"/>
            <w:r w:rsidRPr="00EB7B23">
              <w:rPr>
                <w:rFonts w:cs="Arial"/>
                <w:sz w:val="22"/>
                <w:szCs w:val="22"/>
              </w:rPr>
              <w:t xml:space="preserve"> until after claimant has </w:t>
            </w:r>
            <w:proofErr w:type="gramStart"/>
            <w:r w:rsidRPr="00EB7B23">
              <w:rPr>
                <w:rFonts w:cs="Arial"/>
                <w:sz w:val="22"/>
                <w:szCs w:val="22"/>
              </w:rPr>
              <w:t>furnished</w:t>
            </w:r>
            <w:proofErr w:type="gramEnd"/>
            <w:r w:rsidRPr="00EB7B23">
              <w:rPr>
                <w:rFonts w:cs="Arial"/>
                <w:sz w:val="22"/>
                <w:szCs w:val="22"/>
              </w:rPr>
              <w:t xml:space="preserve"> labor or material. 40 USC §3133(c).</w:t>
            </w:r>
          </w:p>
          <w:p w14:paraId="131C4337" w14:textId="77777777" w:rsidR="009E241C" w:rsidRDefault="009E241C" w:rsidP="000930E8">
            <w:pPr>
              <w:tabs>
                <w:tab w:val="left" w:pos="-1440"/>
              </w:tabs>
              <w:rPr>
                <w:rFonts w:cs="Arial"/>
                <w:sz w:val="22"/>
                <w:szCs w:val="22"/>
              </w:rPr>
            </w:pPr>
          </w:p>
          <w:p w14:paraId="4FC66F3F" w14:textId="5EF90504" w:rsidR="009E241C" w:rsidRPr="00EB7B23" w:rsidRDefault="009E241C" w:rsidP="000930E8">
            <w:pPr>
              <w:tabs>
                <w:tab w:val="left" w:pos="-1440"/>
              </w:tabs>
              <w:rPr>
                <w:rFonts w:cs="Arial"/>
                <w:sz w:val="22"/>
                <w:szCs w:val="22"/>
              </w:rPr>
            </w:pPr>
            <w:r>
              <w:rPr>
                <w:rFonts w:cs="Arial"/>
                <w:sz w:val="22"/>
                <w:szCs w:val="22"/>
              </w:rPr>
              <w:t xml:space="preserve">Investigate if any other bond specific to the project is available for payment.  For example, even if a statutory </w:t>
            </w:r>
            <w:proofErr w:type="gramStart"/>
            <w:r>
              <w:rPr>
                <w:rFonts w:cs="Arial"/>
                <w:sz w:val="22"/>
                <w:szCs w:val="22"/>
              </w:rPr>
              <w:t>lien</w:t>
            </w:r>
            <w:proofErr w:type="gramEnd"/>
            <w:r>
              <w:rPr>
                <w:rFonts w:cs="Arial"/>
                <w:sz w:val="22"/>
                <w:szCs w:val="22"/>
              </w:rPr>
              <w:t xml:space="preserve"> or bond remedy is not available, a project owner may require the prime contractor to obtain a bond for benefit of those supplying labor or materials. Also, contractors on many Oregon projects (</w:t>
            </w:r>
            <w:proofErr w:type="spellStart"/>
            <w:proofErr w:type="gramStart"/>
            <w:r>
              <w:rPr>
                <w:rFonts w:cs="Arial"/>
                <w:sz w:val="22"/>
                <w:szCs w:val="22"/>
              </w:rPr>
              <w:t>pubic</w:t>
            </w:r>
            <w:proofErr w:type="spellEnd"/>
            <w:proofErr w:type="gramEnd"/>
            <w:r>
              <w:rPr>
                <w:rFonts w:cs="Arial"/>
                <w:sz w:val="22"/>
                <w:szCs w:val="22"/>
              </w:rPr>
              <w:t xml:space="preserve"> and private) may be able to use a statutory procedure to obtain the early release of retainage (generally the last five percent (5%) of</w:t>
            </w:r>
            <w:r w:rsidR="009B5718">
              <w:rPr>
                <w:rFonts w:cs="Arial"/>
                <w:sz w:val="22"/>
                <w:szCs w:val="22"/>
              </w:rPr>
              <w:t xml:space="preserve"> the</w:t>
            </w:r>
            <w:r>
              <w:rPr>
                <w:rFonts w:cs="Arial"/>
                <w:sz w:val="22"/>
                <w:szCs w:val="22"/>
              </w:rPr>
              <w:t xml:space="preserve"> contract </w:t>
            </w:r>
            <w:r w:rsidR="009B5718">
              <w:rPr>
                <w:rFonts w:cs="Arial"/>
                <w:sz w:val="22"/>
                <w:szCs w:val="22"/>
              </w:rPr>
              <w:t xml:space="preserve">or subcontract </w:t>
            </w:r>
            <w:r>
              <w:rPr>
                <w:rFonts w:cs="Arial"/>
                <w:sz w:val="22"/>
                <w:szCs w:val="22"/>
              </w:rPr>
              <w:t xml:space="preserve">price withheld </w:t>
            </w:r>
            <w:r w:rsidR="009B5718">
              <w:rPr>
                <w:rFonts w:cs="Arial"/>
                <w:sz w:val="22"/>
                <w:szCs w:val="22"/>
              </w:rPr>
              <w:t xml:space="preserve">to </w:t>
            </w:r>
            <w:r>
              <w:rPr>
                <w:rFonts w:cs="Arial"/>
                <w:sz w:val="22"/>
                <w:szCs w:val="22"/>
              </w:rPr>
              <w:t>secure completion</w:t>
            </w:r>
            <w:r w:rsidR="009B5718">
              <w:rPr>
                <w:rFonts w:cs="Arial"/>
                <w:sz w:val="22"/>
                <w:szCs w:val="22"/>
              </w:rPr>
              <w:t xml:space="preserve"> of all contractual obligations</w:t>
            </w:r>
            <w:r>
              <w:rPr>
                <w:rFonts w:cs="Arial"/>
                <w:sz w:val="22"/>
                <w:szCs w:val="22"/>
              </w:rPr>
              <w:t xml:space="preserve">).  </w:t>
            </w:r>
            <w:r w:rsidR="009B5718">
              <w:rPr>
                <w:rFonts w:cs="Arial"/>
                <w:sz w:val="22"/>
                <w:szCs w:val="22"/>
              </w:rPr>
              <w:t xml:space="preserve">See </w:t>
            </w:r>
            <w:r w:rsidRPr="009E241C">
              <w:rPr>
                <w:rFonts w:cs="Arial"/>
                <w:sz w:val="22"/>
                <w:szCs w:val="22"/>
              </w:rPr>
              <w:t>2024</w:t>
            </w:r>
            <w:r>
              <w:rPr>
                <w:rFonts w:cs="Arial"/>
                <w:sz w:val="22"/>
                <w:szCs w:val="22"/>
              </w:rPr>
              <w:t xml:space="preserve"> Oregon Laws Chapter 2 (</w:t>
            </w:r>
            <w:r w:rsidRPr="009E241C">
              <w:rPr>
                <w:rFonts w:cs="Arial"/>
                <w:sz w:val="22"/>
                <w:szCs w:val="22"/>
              </w:rPr>
              <w:t>HB 4006</w:t>
            </w:r>
            <w:r>
              <w:rPr>
                <w:rFonts w:cs="Arial"/>
                <w:sz w:val="22"/>
                <w:szCs w:val="22"/>
              </w:rPr>
              <w:t>).</w:t>
            </w:r>
          </w:p>
        </w:tc>
      </w:tr>
    </w:tbl>
    <w:p w14:paraId="356DD533" w14:textId="77777777" w:rsidR="00B673FE" w:rsidRPr="00EB7B23" w:rsidRDefault="00B673FE" w:rsidP="000930E8">
      <w:pPr>
        <w:tabs>
          <w:tab w:val="left" w:pos="-1440"/>
        </w:tabs>
        <w:rPr>
          <w:rFonts w:cs="Arial"/>
          <w:sz w:val="22"/>
          <w:szCs w:val="22"/>
        </w:rPr>
      </w:pPr>
    </w:p>
    <w:p w14:paraId="5198D7A6" w14:textId="77777777" w:rsidR="00054DE3" w:rsidRPr="00EB7B23" w:rsidRDefault="00054DE3" w:rsidP="000930E8">
      <w:pPr>
        <w:tabs>
          <w:tab w:val="left" w:pos="-1440"/>
        </w:tabs>
        <w:rPr>
          <w:rFonts w:cs="Arial"/>
          <w:b/>
          <w:sz w:val="22"/>
          <w:szCs w:val="22"/>
        </w:rPr>
      </w:pPr>
    </w:p>
    <w:p w14:paraId="6F95D823" w14:textId="77777777" w:rsidR="008C10DC" w:rsidRPr="00EB7B23" w:rsidRDefault="008C10DC" w:rsidP="000930E8">
      <w:pPr>
        <w:tabs>
          <w:tab w:val="left" w:pos="-1440"/>
        </w:tabs>
        <w:rPr>
          <w:rFonts w:cs="Arial"/>
          <w:b/>
          <w:sz w:val="22"/>
          <w:szCs w:val="22"/>
        </w:rPr>
      </w:pPr>
    </w:p>
    <w:p w14:paraId="6291B8F0" w14:textId="77777777" w:rsidR="008C10DC" w:rsidRPr="00EB7B23" w:rsidRDefault="008C10DC" w:rsidP="000930E8">
      <w:pPr>
        <w:tabs>
          <w:tab w:val="left" w:pos="-1440"/>
        </w:tabs>
        <w:rPr>
          <w:rFonts w:cs="Arial"/>
          <w:b/>
          <w:sz w:val="22"/>
          <w:szCs w:val="22"/>
        </w:rPr>
      </w:pPr>
    </w:p>
    <w:p w14:paraId="0B70C3B4" w14:textId="77777777" w:rsidR="008C10DC" w:rsidRPr="00EB7B23" w:rsidRDefault="008C10DC" w:rsidP="000930E8">
      <w:pPr>
        <w:tabs>
          <w:tab w:val="left" w:pos="-1440"/>
        </w:tabs>
        <w:rPr>
          <w:rFonts w:cs="Arial"/>
          <w:b/>
          <w:sz w:val="22"/>
          <w:szCs w:val="22"/>
        </w:rPr>
      </w:pPr>
    </w:p>
    <w:p w14:paraId="0010952E" w14:textId="77777777" w:rsidR="008C10DC" w:rsidRPr="00EB7B23" w:rsidRDefault="008C10DC" w:rsidP="000930E8">
      <w:pPr>
        <w:tabs>
          <w:tab w:val="left" w:pos="-1440"/>
        </w:tabs>
        <w:rPr>
          <w:rFonts w:cs="Arial"/>
          <w:b/>
          <w:sz w:val="22"/>
          <w:szCs w:val="22"/>
        </w:rPr>
      </w:pPr>
    </w:p>
    <w:p w14:paraId="1737AF73" w14:textId="77777777" w:rsidR="008C10DC" w:rsidRPr="00EB7B23" w:rsidRDefault="008C10DC" w:rsidP="000930E8">
      <w:pPr>
        <w:tabs>
          <w:tab w:val="left" w:pos="-1440"/>
        </w:tabs>
        <w:rPr>
          <w:rFonts w:cs="Arial"/>
          <w:b/>
          <w:sz w:val="22"/>
          <w:szCs w:val="22"/>
        </w:rPr>
      </w:pPr>
    </w:p>
    <w:p w14:paraId="4E5288EC" w14:textId="77777777" w:rsidR="008C10DC" w:rsidRPr="00EB7B23" w:rsidRDefault="008C10DC" w:rsidP="000930E8">
      <w:pPr>
        <w:tabs>
          <w:tab w:val="left" w:pos="-1440"/>
        </w:tabs>
        <w:rPr>
          <w:rFonts w:cs="Arial"/>
          <w:b/>
          <w:sz w:val="22"/>
          <w:szCs w:val="22"/>
        </w:rPr>
      </w:pPr>
    </w:p>
    <w:p w14:paraId="4F5BAB6E" w14:textId="77777777" w:rsidR="008C10DC" w:rsidRPr="00EB7B23" w:rsidRDefault="008C10DC" w:rsidP="000930E8">
      <w:pPr>
        <w:tabs>
          <w:tab w:val="left" w:pos="-1440"/>
        </w:tabs>
        <w:rPr>
          <w:rFonts w:cs="Arial"/>
          <w:b/>
          <w:sz w:val="22"/>
          <w:szCs w:val="22"/>
        </w:rPr>
      </w:pPr>
    </w:p>
    <w:p w14:paraId="0ACC7F98" w14:textId="77777777" w:rsidR="008C10DC" w:rsidRPr="00EB7B23" w:rsidRDefault="008C10DC" w:rsidP="000930E8">
      <w:pPr>
        <w:tabs>
          <w:tab w:val="left" w:pos="-1440"/>
        </w:tabs>
        <w:rPr>
          <w:rFonts w:cs="Arial"/>
          <w:b/>
          <w:sz w:val="22"/>
          <w:szCs w:val="22"/>
        </w:rPr>
      </w:pPr>
    </w:p>
    <w:p w14:paraId="70262B15" w14:textId="77777777" w:rsidR="008C10DC" w:rsidRPr="00EB7B23" w:rsidRDefault="008C10DC" w:rsidP="000930E8">
      <w:pPr>
        <w:tabs>
          <w:tab w:val="left" w:pos="-1440"/>
        </w:tabs>
        <w:rPr>
          <w:rFonts w:cs="Arial"/>
          <w:b/>
          <w:sz w:val="22"/>
          <w:szCs w:val="22"/>
        </w:rPr>
      </w:pPr>
    </w:p>
    <w:p w14:paraId="034FC8CE" w14:textId="77777777" w:rsidR="008C10DC" w:rsidRPr="00EB7B23" w:rsidRDefault="008C10DC" w:rsidP="000930E8">
      <w:pPr>
        <w:tabs>
          <w:tab w:val="left" w:pos="-1440"/>
        </w:tabs>
        <w:rPr>
          <w:rFonts w:cs="Arial"/>
          <w:b/>
          <w:sz w:val="22"/>
          <w:szCs w:val="22"/>
        </w:rPr>
      </w:pPr>
    </w:p>
    <w:p w14:paraId="26D74A33" w14:textId="77777777" w:rsidR="008C10DC" w:rsidRPr="00EB7B23" w:rsidRDefault="008C10DC" w:rsidP="000930E8">
      <w:pPr>
        <w:tabs>
          <w:tab w:val="left" w:pos="-1440"/>
        </w:tabs>
        <w:rPr>
          <w:rFonts w:cs="Arial"/>
          <w:b/>
          <w:sz w:val="22"/>
          <w:szCs w:val="22"/>
        </w:rPr>
      </w:pPr>
    </w:p>
    <w:p w14:paraId="2C464552" w14:textId="77777777" w:rsidR="008C10DC" w:rsidRPr="00EB7B23" w:rsidRDefault="008C10DC" w:rsidP="000930E8">
      <w:pPr>
        <w:tabs>
          <w:tab w:val="left" w:pos="-1440"/>
        </w:tabs>
        <w:rPr>
          <w:rFonts w:cs="Arial"/>
          <w:b/>
          <w:sz w:val="22"/>
          <w:szCs w:val="22"/>
        </w:rPr>
      </w:pPr>
    </w:p>
    <w:p w14:paraId="1EDE2D83" w14:textId="77777777" w:rsidR="008C10DC" w:rsidRPr="00EB7B23" w:rsidRDefault="008C10DC" w:rsidP="000930E8">
      <w:pPr>
        <w:tabs>
          <w:tab w:val="left" w:pos="-1440"/>
        </w:tabs>
        <w:rPr>
          <w:rFonts w:cs="Arial"/>
          <w:b/>
          <w:sz w:val="22"/>
          <w:szCs w:val="22"/>
        </w:rPr>
      </w:pPr>
    </w:p>
    <w:p w14:paraId="683415F1" w14:textId="77777777" w:rsidR="008C10DC" w:rsidRPr="00EB7B23" w:rsidRDefault="008C10DC" w:rsidP="000930E8">
      <w:pPr>
        <w:tabs>
          <w:tab w:val="left" w:pos="-1440"/>
        </w:tabs>
        <w:rPr>
          <w:rFonts w:cs="Arial"/>
          <w:b/>
          <w:sz w:val="22"/>
          <w:szCs w:val="22"/>
        </w:rPr>
      </w:pPr>
    </w:p>
    <w:p w14:paraId="313AAD4C" w14:textId="77777777" w:rsidR="00054DE3" w:rsidRPr="00EB7B23" w:rsidRDefault="00054DE3" w:rsidP="00B90952">
      <w:pPr>
        <w:jc w:val="center"/>
        <w:rPr>
          <w:rFonts w:cs="Arial"/>
          <w:b/>
          <w:sz w:val="22"/>
          <w:szCs w:val="22"/>
        </w:rPr>
      </w:pPr>
      <w:r w:rsidRPr="00EB7B23">
        <w:rPr>
          <w:rFonts w:cs="Arial"/>
          <w:b/>
          <w:sz w:val="22"/>
          <w:szCs w:val="22"/>
        </w:rPr>
        <w:t>IMPORTANT NOTICES</w:t>
      </w:r>
    </w:p>
    <w:p w14:paraId="331701EB" w14:textId="77777777" w:rsidR="00054DE3" w:rsidRPr="00EB7B23" w:rsidRDefault="00054DE3" w:rsidP="000930E8">
      <w:pPr>
        <w:rPr>
          <w:rFonts w:cs="Arial"/>
          <w:sz w:val="22"/>
          <w:szCs w:val="22"/>
        </w:rPr>
      </w:pPr>
    </w:p>
    <w:p w14:paraId="14B16EE3" w14:textId="2A204E23" w:rsidR="00054DE3" w:rsidRPr="00EB7B23" w:rsidRDefault="00054DE3" w:rsidP="00605663">
      <w:pPr>
        <w:jc w:val="both"/>
        <w:rPr>
          <w:rFonts w:cs="Arial"/>
          <w:sz w:val="22"/>
          <w:szCs w:val="22"/>
        </w:rPr>
      </w:pPr>
      <w:r w:rsidRPr="00EB7B23">
        <w:rPr>
          <w:rFonts w:cs="Arial"/>
          <w:sz w:val="22"/>
          <w:szCs w:val="22"/>
        </w:rPr>
        <w:t xml:space="preserve">This material </w:t>
      </w:r>
      <w:proofErr w:type="gramStart"/>
      <w:r w:rsidRPr="00EB7B23">
        <w:rPr>
          <w:rFonts w:cs="Arial"/>
          <w:sz w:val="22"/>
          <w:szCs w:val="22"/>
        </w:rPr>
        <w:t>is provided</w:t>
      </w:r>
      <w:proofErr w:type="gramEnd"/>
      <w:r w:rsidRPr="00EB7B23">
        <w:rPr>
          <w:rFonts w:cs="Arial"/>
          <w:sz w:val="22"/>
          <w:szCs w:val="22"/>
        </w:rPr>
        <w:t xml:space="preserve"> for informational purposes only and does not </w:t>
      </w:r>
      <w:proofErr w:type="gramStart"/>
      <w:r w:rsidRPr="00EB7B23">
        <w:rPr>
          <w:rFonts w:cs="Arial"/>
          <w:sz w:val="22"/>
          <w:szCs w:val="22"/>
        </w:rPr>
        <w:t>establish</w:t>
      </w:r>
      <w:proofErr w:type="gramEnd"/>
      <w:r w:rsidRPr="00EB7B23">
        <w:rPr>
          <w:rFonts w:cs="Arial"/>
          <w:sz w:val="22"/>
          <w:szCs w:val="22"/>
        </w:rPr>
        <w:t xml:space="preserve">, report, or create the standard of care for attorneys in Oregon, nor does it represent a complete analysis of the topics presented. Readers should conduct their own </w:t>
      </w:r>
      <w:proofErr w:type="gramStart"/>
      <w:r w:rsidRPr="00EB7B23">
        <w:rPr>
          <w:rFonts w:cs="Arial"/>
          <w:sz w:val="22"/>
          <w:szCs w:val="22"/>
        </w:rPr>
        <w:t>appropriate legal</w:t>
      </w:r>
      <w:proofErr w:type="gramEnd"/>
      <w:r w:rsidRPr="00EB7B23">
        <w:rPr>
          <w:rFonts w:cs="Arial"/>
          <w:sz w:val="22"/>
          <w:szCs w:val="22"/>
        </w:rPr>
        <w:t xml:space="preserve"> research. The information presented does not </w:t>
      </w:r>
      <w:proofErr w:type="gramStart"/>
      <w:r w:rsidRPr="00EB7B23">
        <w:rPr>
          <w:rFonts w:cs="Arial"/>
          <w:sz w:val="22"/>
          <w:szCs w:val="22"/>
        </w:rPr>
        <w:t>represent</w:t>
      </w:r>
      <w:proofErr w:type="gramEnd"/>
      <w:r w:rsidRPr="00EB7B23">
        <w:rPr>
          <w:rFonts w:cs="Arial"/>
          <w:sz w:val="22"/>
          <w:szCs w:val="22"/>
        </w:rPr>
        <w:t xml:space="preserve"> legal advice</w:t>
      </w:r>
      <w:r w:rsidR="003936D5" w:rsidRPr="00EB7B23">
        <w:rPr>
          <w:rFonts w:cs="Arial"/>
          <w:sz w:val="22"/>
          <w:szCs w:val="22"/>
        </w:rPr>
        <w:t xml:space="preserve">. </w:t>
      </w:r>
      <w:r w:rsidRPr="00EB7B23">
        <w:rPr>
          <w:rFonts w:cs="Arial"/>
          <w:sz w:val="22"/>
          <w:szCs w:val="22"/>
        </w:rPr>
        <w:t xml:space="preserve">This information may not </w:t>
      </w:r>
      <w:proofErr w:type="gramStart"/>
      <w:r w:rsidRPr="00EB7B23">
        <w:rPr>
          <w:rFonts w:cs="Arial"/>
          <w:sz w:val="22"/>
          <w:szCs w:val="22"/>
        </w:rPr>
        <w:t>be republished</w:t>
      </w:r>
      <w:proofErr w:type="gramEnd"/>
      <w:r w:rsidRPr="00EB7B23">
        <w:rPr>
          <w:rFonts w:cs="Arial"/>
          <w:sz w:val="22"/>
          <w:szCs w:val="22"/>
        </w:rPr>
        <w:t xml:space="preserve">, sold, or used in any other form without the written consent of the Oregon State Bar Professional Liability Fund except that permission </w:t>
      </w:r>
      <w:proofErr w:type="gramStart"/>
      <w:r w:rsidRPr="00EB7B23">
        <w:rPr>
          <w:rFonts w:cs="Arial"/>
          <w:sz w:val="22"/>
          <w:szCs w:val="22"/>
        </w:rPr>
        <w:t>is granted</w:t>
      </w:r>
      <w:proofErr w:type="gramEnd"/>
      <w:r w:rsidRPr="00EB7B23">
        <w:rPr>
          <w:rFonts w:cs="Arial"/>
          <w:sz w:val="22"/>
          <w:szCs w:val="22"/>
        </w:rPr>
        <w:t xml:space="preserve"> for Oregon lawyers to use and </w:t>
      </w:r>
      <w:proofErr w:type="gramStart"/>
      <w:r w:rsidRPr="00EB7B23">
        <w:rPr>
          <w:rFonts w:cs="Arial"/>
          <w:sz w:val="22"/>
          <w:szCs w:val="22"/>
        </w:rPr>
        <w:t>modify</w:t>
      </w:r>
      <w:proofErr w:type="gramEnd"/>
      <w:r w:rsidRPr="00EB7B23">
        <w:rPr>
          <w:rFonts w:cs="Arial"/>
          <w:sz w:val="22"/>
          <w:szCs w:val="22"/>
        </w:rPr>
        <w:t xml:space="preserve"> these materials for </w:t>
      </w:r>
      <w:r w:rsidR="00DC4465" w:rsidRPr="00EB7B23">
        <w:rPr>
          <w:rFonts w:cs="Arial"/>
          <w:sz w:val="22"/>
          <w:szCs w:val="22"/>
        </w:rPr>
        <w:t>use</w:t>
      </w:r>
      <w:r w:rsidR="004C2797" w:rsidRPr="00EB7B23">
        <w:rPr>
          <w:rFonts w:cs="Arial"/>
          <w:sz w:val="22"/>
          <w:szCs w:val="22"/>
        </w:rPr>
        <w:t xml:space="preserve"> in their own practices. © 202</w:t>
      </w:r>
      <w:r w:rsidR="009422A0">
        <w:rPr>
          <w:rFonts w:cs="Arial"/>
          <w:sz w:val="22"/>
          <w:szCs w:val="22"/>
        </w:rPr>
        <w:t>5</w:t>
      </w:r>
      <w:r w:rsidRPr="00EB7B23">
        <w:rPr>
          <w:rFonts w:cs="Arial"/>
          <w:sz w:val="22"/>
          <w:szCs w:val="22"/>
        </w:rPr>
        <w:t xml:space="preserve"> </w:t>
      </w:r>
      <w:r w:rsidR="003168D9" w:rsidRPr="00EB7B23">
        <w:rPr>
          <w:rFonts w:cs="Arial"/>
          <w:sz w:val="22"/>
          <w:szCs w:val="22"/>
        </w:rPr>
        <w:t>OSB Professional Liability Fund</w:t>
      </w:r>
    </w:p>
    <w:sectPr w:rsidR="00054DE3" w:rsidRPr="00EB7B23" w:rsidSect="00A35D8B">
      <w:headerReference w:type="default" r:id="rId7"/>
      <w:footerReference w:type="default" r:id="rId8"/>
      <w:endnotePr>
        <w:numFmt w:val="decimal"/>
      </w:endnotePr>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93C90" w14:textId="77777777" w:rsidR="00E761BF" w:rsidRDefault="00E761BF">
      <w:r>
        <w:separator/>
      </w:r>
    </w:p>
  </w:endnote>
  <w:endnote w:type="continuationSeparator" w:id="0">
    <w:p w14:paraId="2CCDF71D" w14:textId="77777777" w:rsidR="00E761BF" w:rsidRDefault="00E7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D45D" w14:textId="77777777" w:rsidR="00054DE3" w:rsidRPr="00863AB1" w:rsidRDefault="00054DE3" w:rsidP="00F66141">
    <w:pPr>
      <w:tabs>
        <w:tab w:val="center" w:pos="2610"/>
      </w:tabs>
      <w:jc w:val="center"/>
      <w:rPr>
        <w:rFonts w:cs="Arial"/>
        <w:color w:val="000000"/>
        <w:sz w:val="16"/>
        <w:szCs w:val="16"/>
      </w:rPr>
    </w:pPr>
  </w:p>
  <w:p w14:paraId="2CDAD5B8" w14:textId="058084B2" w:rsidR="008E760C" w:rsidRPr="00F67ED1" w:rsidRDefault="00305A12" w:rsidP="00605663">
    <w:pPr>
      <w:tabs>
        <w:tab w:val="right" w:pos="9360"/>
      </w:tabs>
      <w:suppressAutoHyphens/>
      <w:jc w:val="both"/>
      <w:rPr>
        <w:spacing w:val="-1"/>
        <w:sz w:val="16"/>
        <w:szCs w:val="16"/>
      </w:rPr>
    </w:pPr>
    <w:r w:rsidRPr="00E30A6F">
      <w:rPr>
        <w:rFonts w:cs="Arial"/>
        <w:sz w:val="16"/>
      </w:rPr>
      <w:t>PROFESSIONAL LIABILITY FUND</w:t>
    </w:r>
    <w:r w:rsidR="000E2044">
      <w:rPr>
        <w:rFonts w:cs="Arial"/>
        <w:sz w:val="16"/>
      </w:rPr>
      <w:t xml:space="preserve"> [Rev. </w:t>
    </w:r>
    <w:r w:rsidR="00F3622C">
      <w:rPr>
        <w:rFonts w:cs="Arial"/>
        <w:sz w:val="16"/>
      </w:rPr>
      <w:t>1</w:t>
    </w:r>
    <w:r w:rsidR="009422A0">
      <w:rPr>
        <w:rFonts w:cs="Arial"/>
        <w:sz w:val="16"/>
      </w:rPr>
      <w:t>1</w:t>
    </w:r>
    <w:r w:rsidR="00F3622C">
      <w:rPr>
        <w:rFonts w:cs="Arial"/>
        <w:sz w:val="16"/>
      </w:rPr>
      <w:t>/202</w:t>
    </w:r>
    <w:r w:rsidR="009422A0">
      <w:rPr>
        <w:rFonts w:cs="Arial"/>
        <w:sz w:val="16"/>
      </w:rPr>
      <w:t>5</w:t>
    </w:r>
    <w:r>
      <w:rPr>
        <w:rFonts w:cs="Arial"/>
        <w:sz w:val="16"/>
      </w:rPr>
      <w:t xml:space="preserve">]  </w:t>
    </w:r>
    <w:r w:rsidRPr="00E30A6F">
      <w:rPr>
        <w:rFonts w:cs="Arial"/>
        <w:sz w:val="16"/>
      </w:rPr>
      <w:t xml:space="preserve"> </w:t>
    </w:r>
    <w:r w:rsidR="008E760C" w:rsidRPr="00E30A6F">
      <w:rPr>
        <w:rFonts w:cs="Arial"/>
        <w:sz w:val="12"/>
      </w:rPr>
      <w:tab/>
    </w:r>
    <w:r w:rsidR="00605663">
      <w:rPr>
        <w:rFonts w:cs="Arial"/>
        <w:sz w:val="12"/>
      </w:rPr>
      <w:t xml:space="preserve">        </w:t>
    </w:r>
    <w:r w:rsidR="0032593D" w:rsidRPr="0032593D">
      <w:rPr>
        <w:rFonts w:cs="Arial"/>
        <w:sz w:val="16"/>
      </w:rPr>
      <w:t xml:space="preserve">Appendix A - </w:t>
    </w:r>
    <w:r w:rsidR="008E760C">
      <w:rPr>
        <w:spacing w:val="-1"/>
        <w:sz w:val="16"/>
        <w:szCs w:val="16"/>
      </w:rPr>
      <w:t>Oregon Lien and Bond Intake Checklist</w:t>
    </w:r>
    <w:r w:rsidR="008E760C" w:rsidRPr="00F67ED1">
      <w:rPr>
        <w:spacing w:val="-1"/>
        <w:sz w:val="16"/>
        <w:szCs w:val="16"/>
      </w:rPr>
      <w:t xml:space="preserve"> - </w:t>
    </w:r>
    <w:r w:rsidR="008E760C" w:rsidRPr="00F67ED1">
      <w:rPr>
        <w:spacing w:val="-2"/>
        <w:sz w:val="16"/>
        <w:szCs w:val="16"/>
      </w:rPr>
      <w:t xml:space="preserve">Page </w:t>
    </w:r>
    <w:r w:rsidR="008E760C" w:rsidRPr="00F67ED1">
      <w:rPr>
        <w:spacing w:val="-2"/>
        <w:sz w:val="16"/>
        <w:szCs w:val="16"/>
      </w:rPr>
      <w:fldChar w:fldCharType="begin"/>
    </w:r>
    <w:r w:rsidR="008E760C" w:rsidRPr="00F67ED1">
      <w:rPr>
        <w:spacing w:val="-2"/>
        <w:sz w:val="16"/>
        <w:szCs w:val="16"/>
      </w:rPr>
      <w:instrText>page \* arabic</w:instrText>
    </w:r>
    <w:r w:rsidR="008E760C" w:rsidRPr="00F67ED1">
      <w:rPr>
        <w:spacing w:val="-2"/>
        <w:sz w:val="16"/>
        <w:szCs w:val="16"/>
      </w:rPr>
      <w:fldChar w:fldCharType="separate"/>
    </w:r>
    <w:r w:rsidR="000E2044">
      <w:rPr>
        <w:noProof/>
        <w:spacing w:val="-2"/>
        <w:sz w:val="16"/>
        <w:szCs w:val="16"/>
      </w:rPr>
      <w:t>1</w:t>
    </w:r>
    <w:r w:rsidR="008E760C" w:rsidRPr="00F67ED1">
      <w:rPr>
        <w:spacing w:val="-2"/>
        <w:sz w:val="16"/>
        <w:szCs w:val="16"/>
      </w:rPr>
      <w:fldChar w:fldCharType="end"/>
    </w:r>
    <w:r w:rsidR="008E760C" w:rsidRPr="00F67ED1">
      <w:rPr>
        <w:spacing w:val="-1"/>
        <w:sz w:val="16"/>
        <w:szCs w:val="16"/>
      </w:rPr>
      <w:t xml:space="preserve">  </w:t>
    </w:r>
  </w:p>
  <w:p w14:paraId="6245B6D4" w14:textId="77777777" w:rsidR="00054DE3" w:rsidRPr="00D748E6" w:rsidRDefault="00054DE3" w:rsidP="00A01CFB">
    <w:pPr>
      <w:tabs>
        <w:tab w:val="center" w:pos="1440"/>
      </w:tabs>
      <w:rPr>
        <w:rFonts w:cs="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9980" w14:textId="77777777" w:rsidR="00E761BF" w:rsidRDefault="00E761BF">
      <w:r>
        <w:separator/>
      </w:r>
    </w:p>
  </w:footnote>
  <w:footnote w:type="continuationSeparator" w:id="0">
    <w:p w14:paraId="5945EA7C" w14:textId="77777777" w:rsidR="00E761BF" w:rsidRDefault="00E76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C580" w14:textId="77777777" w:rsidR="0032593D" w:rsidRPr="003168D9" w:rsidRDefault="0032593D" w:rsidP="003168D9">
    <w:pPr>
      <w:jc w:val="center"/>
      <w:rPr>
        <w:b/>
        <w:sz w:val="24"/>
        <w:szCs w:val="24"/>
      </w:rPr>
    </w:pPr>
    <w:r w:rsidRPr="003168D9">
      <w:rPr>
        <w:b/>
        <w:sz w:val="24"/>
        <w:szCs w:val="24"/>
      </w:rPr>
      <w:t>APPENDIX A - OREGON LIEN AND BOND INTAKE CHECKLIST</w:t>
    </w:r>
  </w:p>
  <w:p w14:paraId="344AA5EE" w14:textId="77777777" w:rsidR="0032593D" w:rsidRPr="003168D9" w:rsidRDefault="0032593D" w:rsidP="003168D9">
    <w:pPr>
      <w:jc w:val="center"/>
      <w:rPr>
        <w:b/>
        <w:sz w:val="24"/>
        <w:szCs w:val="24"/>
      </w:rPr>
    </w:pPr>
    <w:r w:rsidRPr="003168D9">
      <w:rPr>
        <w:b/>
        <w:sz w:val="24"/>
        <w:szCs w:val="24"/>
      </w:rPr>
      <w:t>(Use in conjunction with lien or bond specific summary and checklist)</w:t>
    </w:r>
  </w:p>
  <w:p w14:paraId="2ECC5A8D" w14:textId="77777777" w:rsidR="009314F1" w:rsidRPr="00E30A6F" w:rsidRDefault="009314F1" w:rsidP="0032593D">
    <w:pPr>
      <w:pStyle w:val="Header"/>
      <w:tabs>
        <w:tab w:val="clear" w:pos="4320"/>
        <w:tab w:val="clear" w:pos="8640"/>
        <w:tab w:val="left" w:pos="28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559E"/>
    <w:multiLevelType w:val="singleLevel"/>
    <w:tmpl w:val="B2F4AA3C"/>
    <w:lvl w:ilvl="0">
      <w:start w:val="1"/>
      <w:numFmt w:val="decimal"/>
      <w:lvlText w:val="%1."/>
      <w:lvlJc w:val="left"/>
      <w:pPr>
        <w:tabs>
          <w:tab w:val="num" w:pos="360"/>
        </w:tabs>
        <w:ind w:left="360" w:hanging="360"/>
      </w:pPr>
      <w:rPr>
        <w:rFonts w:hint="default"/>
        <w:b/>
        <w:u w:val="none"/>
      </w:rPr>
    </w:lvl>
  </w:abstractNum>
  <w:abstractNum w:abstractNumId="1" w15:restartNumberingAfterBreak="0">
    <w:nsid w:val="0B1B4B10"/>
    <w:multiLevelType w:val="singleLevel"/>
    <w:tmpl w:val="EE84F008"/>
    <w:lvl w:ilvl="0">
      <w:start w:val="1"/>
      <w:numFmt w:val="decimal"/>
      <w:lvlText w:val="%1."/>
      <w:lvlJc w:val="left"/>
      <w:pPr>
        <w:tabs>
          <w:tab w:val="num" w:pos="360"/>
        </w:tabs>
        <w:ind w:left="360" w:hanging="360"/>
      </w:pPr>
      <w:rPr>
        <w:rFonts w:hint="default"/>
        <w:b/>
        <w:u w:val="none"/>
      </w:rPr>
    </w:lvl>
  </w:abstractNum>
  <w:abstractNum w:abstractNumId="2" w15:restartNumberingAfterBreak="0">
    <w:nsid w:val="2FA75450"/>
    <w:multiLevelType w:val="hybridMultilevel"/>
    <w:tmpl w:val="3E12A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A50166"/>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62C86301"/>
    <w:multiLevelType w:val="singleLevel"/>
    <w:tmpl w:val="DCF0826E"/>
    <w:lvl w:ilvl="0">
      <w:start w:val="1"/>
      <w:numFmt w:val="decimal"/>
      <w:lvlText w:val="%1."/>
      <w:lvlJc w:val="left"/>
      <w:pPr>
        <w:tabs>
          <w:tab w:val="num" w:pos="360"/>
        </w:tabs>
        <w:ind w:left="360" w:hanging="360"/>
      </w:pPr>
      <w:rPr>
        <w:rFonts w:hint="default"/>
        <w:b/>
        <w:u w:val="none"/>
      </w:rPr>
    </w:lvl>
  </w:abstractNum>
  <w:abstractNum w:abstractNumId="5" w15:restartNumberingAfterBreak="0">
    <w:nsid w:val="71D00D4D"/>
    <w:multiLevelType w:val="singleLevel"/>
    <w:tmpl w:val="0F3829B8"/>
    <w:lvl w:ilvl="0">
      <w:start w:val="5"/>
      <w:numFmt w:val="decimal"/>
      <w:lvlText w:val="%1."/>
      <w:lvlJc w:val="left"/>
      <w:pPr>
        <w:tabs>
          <w:tab w:val="num" w:pos="720"/>
        </w:tabs>
        <w:ind w:left="720" w:hanging="720"/>
      </w:pPr>
      <w:rPr>
        <w:rFonts w:hint="default"/>
        <w:u w:val="none"/>
      </w:rPr>
    </w:lvl>
  </w:abstractNum>
  <w:num w:numId="1" w16cid:durableId="930434763">
    <w:abstractNumId w:val="5"/>
  </w:num>
  <w:num w:numId="2" w16cid:durableId="1681270537">
    <w:abstractNumId w:val="3"/>
  </w:num>
  <w:num w:numId="3" w16cid:durableId="900019191">
    <w:abstractNumId w:val="4"/>
  </w:num>
  <w:num w:numId="4" w16cid:durableId="1083913536">
    <w:abstractNumId w:val="1"/>
  </w:num>
  <w:num w:numId="5" w16cid:durableId="618610452">
    <w:abstractNumId w:val="0"/>
  </w:num>
  <w:num w:numId="6" w16cid:durableId="1392658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78"/>
    <w:rsid w:val="00022B33"/>
    <w:rsid w:val="0003679F"/>
    <w:rsid w:val="000420C8"/>
    <w:rsid w:val="00054DE3"/>
    <w:rsid w:val="00057C3B"/>
    <w:rsid w:val="00057E88"/>
    <w:rsid w:val="00072652"/>
    <w:rsid w:val="0007602D"/>
    <w:rsid w:val="000860D3"/>
    <w:rsid w:val="000930E8"/>
    <w:rsid w:val="000D1DB2"/>
    <w:rsid w:val="000E2044"/>
    <w:rsid w:val="000E28BB"/>
    <w:rsid w:val="00103E5E"/>
    <w:rsid w:val="00112C2C"/>
    <w:rsid w:val="001250AA"/>
    <w:rsid w:val="001415BA"/>
    <w:rsid w:val="0016217C"/>
    <w:rsid w:val="001727A3"/>
    <w:rsid w:val="001A1FF8"/>
    <w:rsid w:val="001B5F4A"/>
    <w:rsid w:val="001D1E37"/>
    <w:rsid w:val="001F0893"/>
    <w:rsid w:val="001F7A5A"/>
    <w:rsid w:val="00250B70"/>
    <w:rsid w:val="00252087"/>
    <w:rsid w:val="002570C8"/>
    <w:rsid w:val="00297969"/>
    <w:rsid w:val="002A0DB7"/>
    <w:rsid w:val="002B0B6C"/>
    <w:rsid w:val="003012DC"/>
    <w:rsid w:val="00304DA6"/>
    <w:rsid w:val="00305A12"/>
    <w:rsid w:val="003168D9"/>
    <w:rsid w:val="0032593D"/>
    <w:rsid w:val="00327FD2"/>
    <w:rsid w:val="003411A1"/>
    <w:rsid w:val="003608FF"/>
    <w:rsid w:val="00364508"/>
    <w:rsid w:val="003755E4"/>
    <w:rsid w:val="003936D5"/>
    <w:rsid w:val="003B537B"/>
    <w:rsid w:val="00402469"/>
    <w:rsid w:val="004825FE"/>
    <w:rsid w:val="004A5FE8"/>
    <w:rsid w:val="004A7C57"/>
    <w:rsid w:val="004C2797"/>
    <w:rsid w:val="004F23A6"/>
    <w:rsid w:val="00514E1A"/>
    <w:rsid w:val="00543524"/>
    <w:rsid w:val="005503A2"/>
    <w:rsid w:val="0056202E"/>
    <w:rsid w:val="00565529"/>
    <w:rsid w:val="00574026"/>
    <w:rsid w:val="00585209"/>
    <w:rsid w:val="00585A03"/>
    <w:rsid w:val="00590D15"/>
    <w:rsid w:val="005B17E0"/>
    <w:rsid w:val="005C72BE"/>
    <w:rsid w:val="005E5753"/>
    <w:rsid w:val="00602A41"/>
    <w:rsid w:val="00605663"/>
    <w:rsid w:val="00636EDF"/>
    <w:rsid w:val="00674F25"/>
    <w:rsid w:val="00680FF2"/>
    <w:rsid w:val="006F12E6"/>
    <w:rsid w:val="00707938"/>
    <w:rsid w:val="007420DE"/>
    <w:rsid w:val="007659AA"/>
    <w:rsid w:val="00766AEF"/>
    <w:rsid w:val="00775250"/>
    <w:rsid w:val="0079102D"/>
    <w:rsid w:val="007A42F9"/>
    <w:rsid w:val="007A55A9"/>
    <w:rsid w:val="007B24FF"/>
    <w:rsid w:val="007C2A7A"/>
    <w:rsid w:val="007C3EA5"/>
    <w:rsid w:val="007D750F"/>
    <w:rsid w:val="007E4BB0"/>
    <w:rsid w:val="007F21D2"/>
    <w:rsid w:val="007F587B"/>
    <w:rsid w:val="007F6B87"/>
    <w:rsid w:val="00800EE1"/>
    <w:rsid w:val="00814A6A"/>
    <w:rsid w:val="00815EAF"/>
    <w:rsid w:val="00836C01"/>
    <w:rsid w:val="0085569D"/>
    <w:rsid w:val="00855AE1"/>
    <w:rsid w:val="00863AB1"/>
    <w:rsid w:val="008717B7"/>
    <w:rsid w:val="00876810"/>
    <w:rsid w:val="008B605B"/>
    <w:rsid w:val="008B65A3"/>
    <w:rsid w:val="008B7FB6"/>
    <w:rsid w:val="008C10DC"/>
    <w:rsid w:val="008E760C"/>
    <w:rsid w:val="008F4C0D"/>
    <w:rsid w:val="00900283"/>
    <w:rsid w:val="00913C7E"/>
    <w:rsid w:val="009267CB"/>
    <w:rsid w:val="009314F1"/>
    <w:rsid w:val="00934311"/>
    <w:rsid w:val="009422A0"/>
    <w:rsid w:val="00970618"/>
    <w:rsid w:val="00982456"/>
    <w:rsid w:val="00983D25"/>
    <w:rsid w:val="00985896"/>
    <w:rsid w:val="009A1592"/>
    <w:rsid w:val="009B5718"/>
    <w:rsid w:val="009B6BAC"/>
    <w:rsid w:val="009D4850"/>
    <w:rsid w:val="009E241C"/>
    <w:rsid w:val="00A01CFB"/>
    <w:rsid w:val="00A15BA9"/>
    <w:rsid w:val="00A35D8B"/>
    <w:rsid w:val="00A4705D"/>
    <w:rsid w:val="00A50A54"/>
    <w:rsid w:val="00A61D3D"/>
    <w:rsid w:val="00A730C9"/>
    <w:rsid w:val="00A90650"/>
    <w:rsid w:val="00A96997"/>
    <w:rsid w:val="00AB03F4"/>
    <w:rsid w:val="00AB6320"/>
    <w:rsid w:val="00AE0718"/>
    <w:rsid w:val="00AE5C3B"/>
    <w:rsid w:val="00B0166F"/>
    <w:rsid w:val="00B05591"/>
    <w:rsid w:val="00B24F81"/>
    <w:rsid w:val="00B35EA1"/>
    <w:rsid w:val="00B47F7A"/>
    <w:rsid w:val="00B673FE"/>
    <w:rsid w:val="00B81C36"/>
    <w:rsid w:val="00B90952"/>
    <w:rsid w:val="00BA139B"/>
    <w:rsid w:val="00BA42DC"/>
    <w:rsid w:val="00BE05B8"/>
    <w:rsid w:val="00BE6FB1"/>
    <w:rsid w:val="00BF2558"/>
    <w:rsid w:val="00BF587B"/>
    <w:rsid w:val="00BF6A32"/>
    <w:rsid w:val="00C3115C"/>
    <w:rsid w:val="00C46EC3"/>
    <w:rsid w:val="00C516C8"/>
    <w:rsid w:val="00C66417"/>
    <w:rsid w:val="00C66B4F"/>
    <w:rsid w:val="00C73BB4"/>
    <w:rsid w:val="00C90073"/>
    <w:rsid w:val="00C9214F"/>
    <w:rsid w:val="00C975B7"/>
    <w:rsid w:val="00CC270F"/>
    <w:rsid w:val="00CE47C7"/>
    <w:rsid w:val="00CF5247"/>
    <w:rsid w:val="00D23702"/>
    <w:rsid w:val="00D27589"/>
    <w:rsid w:val="00D3513F"/>
    <w:rsid w:val="00D411B1"/>
    <w:rsid w:val="00D513B1"/>
    <w:rsid w:val="00D61B96"/>
    <w:rsid w:val="00D705F1"/>
    <w:rsid w:val="00D748E6"/>
    <w:rsid w:val="00DC09BE"/>
    <w:rsid w:val="00DC4465"/>
    <w:rsid w:val="00E00F98"/>
    <w:rsid w:val="00E03B98"/>
    <w:rsid w:val="00E13669"/>
    <w:rsid w:val="00E172D2"/>
    <w:rsid w:val="00E30A6F"/>
    <w:rsid w:val="00E4324F"/>
    <w:rsid w:val="00E52B28"/>
    <w:rsid w:val="00E53AE2"/>
    <w:rsid w:val="00E553E5"/>
    <w:rsid w:val="00E60D33"/>
    <w:rsid w:val="00E71822"/>
    <w:rsid w:val="00E719CF"/>
    <w:rsid w:val="00E73D5D"/>
    <w:rsid w:val="00E761BF"/>
    <w:rsid w:val="00E87A86"/>
    <w:rsid w:val="00EA1ACC"/>
    <w:rsid w:val="00EA505E"/>
    <w:rsid w:val="00EB7B23"/>
    <w:rsid w:val="00EC0CF2"/>
    <w:rsid w:val="00ED5219"/>
    <w:rsid w:val="00EF061C"/>
    <w:rsid w:val="00EF0B13"/>
    <w:rsid w:val="00EF1C78"/>
    <w:rsid w:val="00F01620"/>
    <w:rsid w:val="00F05211"/>
    <w:rsid w:val="00F05E35"/>
    <w:rsid w:val="00F1085C"/>
    <w:rsid w:val="00F3622C"/>
    <w:rsid w:val="00F41F7E"/>
    <w:rsid w:val="00F66141"/>
    <w:rsid w:val="00F8771F"/>
    <w:rsid w:val="00FD4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20C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tabs>
        <w:tab w:val="center" w:pos="4680"/>
      </w:tabs>
      <w:jc w:val="center"/>
      <w:outlineLvl w:val="0"/>
    </w:pPr>
    <w:rPr>
      <w:b/>
      <w:u w:val="single"/>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tabs>
        <w:tab w:val="center" w:pos="4680"/>
      </w:tabs>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center" w:pos="4680"/>
      </w:tabs>
      <w:jc w:val="center"/>
    </w:pPr>
    <w:rPr>
      <w:b/>
      <w:sz w:val="28"/>
    </w:rPr>
  </w:style>
  <w:style w:type="paragraph" w:styleId="BodyText">
    <w:name w:val="Body Text"/>
    <w:basedOn w:val="Normal"/>
    <w:semiHidden/>
  </w:style>
  <w:style w:type="paragraph" w:styleId="Header">
    <w:name w:val="header"/>
    <w:basedOn w:val="Normal"/>
    <w:link w:val="HeaderChar"/>
    <w:uiPriority w:val="99"/>
    <w:pPr>
      <w:tabs>
        <w:tab w:val="center" w:pos="4320"/>
        <w:tab w:val="right" w:pos="8640"/>
      </w:tabs>
    </w:pPr>
  </w:style>
  <w:style w:type="paragraph" w:customStyle="1" w:styleId="Style1">
    <w:name w:val="Style1"/>
    <w:basedOn w:val="Normal"/>
    <w:pPr>
      <w:jc w:val="center"/>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440"/>
      </w:tabs>
      <w:ind w:left="720" w:hanging="720"/>
    </w:pPr>
  </w:style>
  <w:style w:type="paragraph" w:styleId="BodyTextIndent2">
    <w:name w:val="Body Text Indent 2"/>
    <w:basedOn w:val="Normal"/>
    <w:semiHidden/>
    <w:pPr>
      <w:ind w:firstLine="720"/>
      <w:jc w:val="both"/>
    </w:pPr>
  </w:style>
  <w:style w:type="paragraph" w:styleId="BalloonText">
    <w:name w:val="Balloon Text"/>
    <w:basedOn w:val="Normal"/>
    <w:link w:val="BalloonTextChar"/>
    <w:uiPriority w:val="99"/>
    <w:semiHidden/>
    <w:unhideWhenUsed/>
    <w:rsid w:val="00D748E6"/>
    <w:rPr>
      <w:rFonts w:ascii="Tahoma" w:hAnsi="Tahoma"/>
      <w:sz w:val="16"/>
      <w:szCs w:val="16"/>
      <w:lang w:val="x-none" w:eastAsia="x-none"/>
    </w:rPr>
  </w:style>
  <w:style w:type="character" w:customStyle="1" w:styleId="BalloonTextChar">
    <w:name w:val="Balloon Text Char"/>
    <w:link w:val="BalloonText"/>
    <w:uiPriority w:val="99"/>
    <w:semiHidden/>
    <w:rsid w:val="00D748E6"/>
    <w:rPr>
      <w:rFonts w:ascii="Tahoma" w:hAnsi="Tahoma" w:cs="Tahoma"/>
      <w:snapToGrid w:val="0"/>
      <w:sz w:val="16"/>
      <w:szCs w:val="16"/>
    </w:rPr>
  </w:style>
  <w:style w:type="character" w:customStyle="1" w:styleId="HeaderChar">
    <w:name w:val="Header Char"/>
    <w:link w:val="Header"/>
    <w:uiPriority w:val="99"/>
    <w:rsid w:val="0032593D"/>
    <w:rPr>
      <w:rFonts w:ascii="Arial" w:hAnsi="Arial"/>
      <w:snapToGrid w:val="0"/>
    </w:rPr>
  </w:style>
  <w:style w:type="paragraph" w:styleId="Revision">
    <w:name w:val="Revision"/>
    <w:hidden/>
    <w:uiPriority w:val="99"/>
    <w:semiHidden/>
    <w:rsid w:val="00F01620"/>
    <w:rPr>
      <w:rFonts w:ascii="Arial" w:hAnsi="Arial"/>
      <w:snapToGrid w:val="0"/>
    </w:rPr>
  </w:style>
  <w:style w:type="table" w:styleId="TableGrid">
    <w:name w:val="Table Grid"/>
    <w:basedOn w:val="TableNormal"/>
    <w:uiPriority w:val="59"/>
    <w:rsid w:val="00CC2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E241C"/>
    <w:rPr>
      <w:sz w:val="16"/>
      <w:szCs w:val="16"/>
    </w:rPr>
  </w:style>
  <w:style w:type="paragraph" w:styleId="CommentText">
    <w:name w:val="annotation text"/>
    <w:basedOn w:val="Normal"/>
    <w:link w:val="CommentTextChar"/>
    <w:uiPriority w:val="99"/>
    <w:unhideWhenUsed/>
    <w:rsid w:val="009E241C"/>
  </w:style>
  <w:style w:type="character" w:customStyle="1" w:styleId="CommentTextChar">
    <w:name w:val="Comment Text Char"/>
    <w:basedOn w:val="DefaultParagraphFont"/>
    <w:link w:val="CommentText"/>
    <w:uiPriority w:val="99"/>
    <w:rsid w:val="009E241C"/>
    <w:rPr>
      <w:rFonts w:ascii="Arial" w:hAnsi="Arial"/>
      <w:snapToGrid w:val="0"/>
    </w:rPr>
  </w:style>
  <w:style w:type="paragraph" w:styleId="CommentSubject">
    <w:name w:val="annotation subject"/>
    <w:basedOn w:val="CommentText"/>
    <w:next w:val="CommentText"/>
    <w:link w:val="CommentSubjectChar"/>
    <w:uiPriority w:val="99"/>
    <w:semiHidden/>
    <w:unhideWhenUsed/>
    <w:rsid w:val="009E241C"/>
    <w:rPr>
      <w:b/>
      <w:bCs/>
    </w:rPr>
  </w:style>
  <w:style w:type="character" w:customStyle="1" w:styleId="CommentSubjectChar">
    <w:name w:val="Comment Subject Char"/>
    <w:basedOn w:val="CommentTextChar"/>
    <w:link w:val="CommentSubject"/>
    <w:uiPriority w:val="99"/>
    <w:semiHidden/>
    <w:rsid w:val="009E241C"/>
    <w:rPr>
      <w:rFonts w:ascii="Arial"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FAE05AE3-F2FF-43ED-9053-0AF120383B81}"/>
</file>

<file path=customXml/itemProps2.xml><?xml version="1.0" encoding="utf-8"?>
<ds:datastoreItem xmlns:ds="http://schemas.openxmlformats.org/officeDocument/2006/customXml" ds:itemID="{633FBB17-3166-4CB0-A705-D5D99416C7A0}"/>
</file>

<file path=customXml/itemProps3.xml><?xml version="1.0" encoding="utf-8"?>
<ds:datastoreItem xmlns:ds="http://schemas.openxmlformats.org/officeDocument/2006/customXml" ds:itemID="{97524D9B-1F50-4D26-86CF-70D8C71C08A3}"/>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4863</Characters>
  <Application>Microsoft Office Word</Application>
  <DocSecurity>0</DocSecurity>
  <Lines>105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2025-11-03T05:28:00Z</dcterms:created>
  <dcterms:modified xsi:type="dcterms:W3CDTF">2025-11-03T05:29:00Z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198800</vt:r8>
  </property>
  <property fmtid="{D5CDD505-2E9C-101B-9397-08002B2CF9AE}" pid="3" name="MediaServiceImageTags">
    <vt:lpwstr/>
  </property>
  <property fmtid="{D5CDD505-2E9C-101B-9397-08002B2CF9AE}" pid="4" name="ContentTypeId">
    <vt:lpwstr>0x010100A1DDC338712AAF438B3B42F2A08579B3</vt:lpwstr>
  </property>
</Properties>
</file>